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E3127" w14:textId="788440F5" w:rsidR="0029148A" w:rsidRDefault="0029148A" w:rsidP="00EE4F3C">
      <w:pPr>
        <w:pStyle w:val="Heading1"/>
      </w:pPr>
      <w:r>
        <w:t>Storage</w:t>
      </w:r>
      <w:r w:rsidR="00D7631B">
        <w:t xml:space="preserve"> Section</w:t>
      </w:r>
    </w:p>
    <w:p w14:paraId="7AF0EEE9" w14:textId="6CCDF9A6" w:rsidR="0029148A" w:rsidRDefault="0029148A" w:rsidP="00DF4C04">
      <w:pPr>
        <w:pStyle w:val="Heading2"/>
      </w:pPr>
      <w:r>
        <w:t>Changes</w:t>
      </w:r>
    </w:p>
    <w:p w14:paraId="218D663E" w14:textId="4F2CCF0C" w:rsidR="0070364A" w:rsidRPr="00B209F9" w:rsidRDefault="0061647F" w:rsidP="00C9531A">
      <w:pPr>
        <w:pStyle w:val="ListParagraph"/>
        <w:numPr>
          <w:ilvl w:val="0"/>
          <w:numId w:val="1"/>
        </w:numPr>
      </w:pPr>
      <w:r w:rsidRPr="00B209F9">
        <w:t>Inventories Storage Report</w:t>
      </w:r>
    </w:p>
    <w:p w14:paraId="0109F811" w14:textId="7C7730F4" w:rsidR="00220D1F" w:rsidRDefault="00F076F6" w:rsidP="00C9531A">
      <w:pPr>
        <w:pStyle w:val="ListParagraph"/>
        <w:numPr>
          <w:ilvl w:val="1"/>
          <w:numId w:val="1"/>
        </w:numPr>
      </w:pPr>
      <w:r>
        <w:t xml:space="preserve">The </w:t>
      </w:r>
      <w:r w:rsidR="00EB559F">
        <w:t>columns “</w:t>
      </w:r>
      <w:r w:rsidR="0070364A" w:rsidRPr="00B36986">
        <w:t>CFI</w:t>
      </w:r>
      <w:r w:rsidR="00EB559F">
        <w:t xml:space="preserve"> (%)” and “</w:t>
      </w:r>
      <w:r w:rsidR="0070364A" w:rsidRPr="00B36986">
        <w:t>CFW</w:t>
      </w:r>
      <w:r w:rsidR="00EB559F">
        <w:t xml:space="preserve"> (%)” are removed.</w:t>
      </w:r>
    </w:p>
    <w:p w14:paraId="039E057E" w14:textId="715DF919" w:rsidR="00EB559F" w:rsidRDefault="00EB559F" w:rsidP="00C9531A">
      <w:pPr>
        <w:pStyle w:val="ListParagraph"/>
        <w:numPr>
          <w:ilvl w:val="1"/>
          <w:numId w:val="1"/>
        </w:numPr>
      </w:pPr>
      <w:r>
        <w:t>Two new columns “TCFI (%)” and “TCFW (%)” are added.</w:t>
      </w:r>
    </w:p>
    <w:p w14:paraId="1B2EAE0A" w14:textId="711C25FA" w:rsidR="0070364A" w:rsidRPr="00B36986" w:rsidRDefault="00A27BAC" w:rsidP="00C9531A">
      <w:pPr>
        <w:pStyle w:val="ListParagraph"/>
        <w:numPr>
          <w:ilvl w:val="1"/>
          <w:numId w:val="1"/>
        </w:numPr>
      </w:pPr>
      <w:r>
        <w:t>The column “CSCC” is removed.</w:t>
      </w:r>
    </w:p>
    <w:p w14:paraId="25E4875E" w14:textId="3644F46B" w:rsidR="00F67BD4" w:rsidRDefault="00DE674B" w:rsidP="00F67BD4">
      <w:pPr>
        <w:pStyle w:val="ListParagraph"/>
        <w:numPr>
          <w:ilvl w:val="1"/>
          <w:numId w:val="1"/>
        </w:numPr>
      </w:pPr>
      <w:r>
        <w:t>Two new columns “MIC” and “MWC”</w:t>
      </w:r>
      <w:r w:rsidR="00BE4356">
        <w:t xml:space="preserve"> are added</w:t>
      </w:r>
      <w:r>
        <w:t xml:space="preserve">, </w:t>
      </w:r>
      <w:r w:rsidR="00F67BD4">
        <w:t>re</w:t>
      </w:r>
      <w:r w:rsidR="0038189B">
        <w:t xml:space="preserve">presenting the </w:t>
      </w:r>
      <w:r w:rsidR="00F67BD4">
        <w:t xml:space="preserve">total available </w:t>
      </w:r>
      <w:r w:rsidR="0038189B">
        <w:t xml:space="preserve">injection capacity and </w:t>
      </w:r>
      <w:r w:rsidR="00F67BD4">
        <w:t>total available</w:t>
      </w:r>
      <w:r w:rsidR="0038189B">
        <w:t xml:space="preserve"> withdrawal capacit</w:t>
      </w:r>
      <w:r w:rsidR="00F67BD4">
        <w:t>y</w:t>
      </w:r>
      <w:r w:rsidR="00BE4356">
        <w:t>.</w:t>
      </w:r>
    </w:p>
    <w:p w14:paraId="07D66523" w14:textId="26AD765D" w:rsidR="00CF6444" w:rsidRDefault="00CF6444" w:rsidP="00F67BD4">
      <w:pPr>
        <w:pStyle w:val="ListParagraph"/>
        <w:numPr>
          <w:ilvl w:val="1"/>
          <w:numId w:val="1"/>
        </w:numPr>
      </w:pPr>
      <w:r>
        <w:t xml:space="preserve">When converting amounts from kWh to </w:t>
      </w:r>
      <w:r w:rsidRPr="00F24C3E">
        <w:t>m³</w:t>
      </w:r>
      <w:r>
        <w:t xml:space="preserve"> (and vice versa), </w:t>
      </w:r>
      <w:r w:rsidRPr="00F24C3E">
        <w:t xml:space="preserve">a fixed GCV of 11,3 </w:t>
      </w:r>
      <w:r w:rsidR="00F4784A">
        <w:t xml:space="preserve">kWh/m³ </w:t>
      </w:r>
      <w:r>
        <w:t>is used</w:t>
      </w:r>
      <w:r w:rsidR="00DF4C04">
        <w:t>.</w:t>
      </w:r>
    </w:p>
    <w:p w14:paraId="67A2A680" w14:textId="60DE6258" w:rsidR="00E83501" w:rsidRPr="00F67BD4" w:rsidRDefault="00E83501" w:rsidP="00E83501">
      <w:r>
        <w:rPr>
          <w:noProof/>
        </w:rPr>
        <w:drawing>
          <wp:inline distT="0" distB="0" distL="0" distR="0" wp14:anchorId="4E6FA442" wp14:editId="7AD9B862">
            <wp:extent cx="5565775" cy="1790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7308" w14:textId="59831A32" w:rsidR="00B915C3" w:rsidRPr="00F67BD4" w:rsidRDefault="00B915C3" w:rsidP="007206B5">
      <w:pPr>
        <w:pStyle w:val="ListParagraph"/>
        <w:ind w:left="1440"/>
      </w:pPr>
    </w:p>
    <w:p w14:paraId="112EE1CA" w14:textId="0092BE37" w:rsidR="00814327" w:rsidRPr="00B209F9" w:rsidRDefault="00814327" w:rsidP="00C9531A">
      <w:pPr>
        <w:pStyle w:val="ListParagraph"/>
        <w:numPr>
          <w:ilvl w:val="0"/>
          <w:numId w:val="1"/>
        </w:numPr>
      </w:pPr>
      <w:r w:rsidRPr="00B209F9">
        <w:t>Capacity Rights Injection - 3 months view</w:t>
      </w:r>
      <w:r w:rsidRPr="00B209F9">
        <w:tab/>
      </w:r>
    </w:p>
    <w:p w14:paraId="56D2A492" w14:textId="2363D07C" w:rsidR="00814327" w:rsidRPr="00814327" w:rsidRDefault="00814327" w:rsidP="004C5005">
      <w:pPr>
        <w:pStyle w:val="ListParagraph"/>
        <w:numPr>
          <w:ilvl w:val="0"/>
          <w:numId w:val="4"/>
        </w:numPr>
        <w:ind w:left="1440"/>
      </w:pPr>
      <w:r w:rsidRPr="00814327">
        <w:t xml:space="preserve">For dates </w:t>
      </w:r>
      <w:r w:rsidR="00CB189F">
        <w:t xml:space="preserve">starting </w:t>
      </w:r>
      <w:r w:rsidR="008B01DD">
        <w:t xml:space="preserve">from </w:t>
      </w:r>
      <w:r w:rsidRPr="00814327">
        <w:t>01/04/22 there is no data</w:t>
      </w:r>
      <w:r w:rsidR="00985E2C">
        <w:t xml:space="preserve"> published</w:t>
      </w:r>
      <w:r w:rsidRPr="00814327">
        <w:t xml:space="preserve"> for the columns “Conditional Subscribed Capacity” and “Subscribed Total Capacity”</w:t>
      </w:r>
      <w:r w:rsidR="008B01DD">
        <w:t>.</w:t>
      </w:r>
    </w:p>
    <w:p w14:paraId="6A005E76" w14:textId="62800152" w:rsidR="00814327" w:rsidRPr="00814327" w:rsidRDefault="00814327" w:rsidP="004C5005">
      <w:pPr>
        <w:pStyle w:val="ListParagraph"/>
        <w:numPr>
          <w:ilvl w:val="0"/>
          <w:numId w:val="4"/>
        </w:numPr>
        <w:ind w:left="1440"/>
      </w:pPr>
      <w:r w:rsidRPr="00814327">
        <w:t>A new column “Priority Booster Capacity” is added</w:t>
      </w:r>
      <w:r w:rsidR="00F940A9">
        <w:t>.</w:t>
      </w:r>
    </w:p>
    <w:p w14:paraId="2B34C483" w14:textId="111CB1B2" w:rsidR="00814327" w:rsidRPr="00814327" w:rsidRDefault="00814327" w:rsidP="004C5005">
      <w:pPr>
        <w:pStyle w:val="ListParagraph"/>
        <w:numPr>
          <w:ilvl w:val="0"/>
          <w:numId w:val="4"/>
        </w:numPr>
        <w:spacing w:after="0"/>
        <w:ind w:left="1440"/>
      </w:pPr>
      <w:r w:rsidRPr="00814327">
        <w:t>All capacities are reported in the unit kWh</w:t>
      </w:r>
      <w:r w:rsidR="00165F61">
        <w:t>/h</w:t>
      </w:r>
      <w:r w:rsidRPr="00814327">
        <w:t xml:space="preserve"> instead of the unit m³</w:t>
      </w:r>
      <w:r w:rsidR="00165F61">
        <w:t>/h</w:t>
      </w:r>
      <w:r w:rsidRPr="00814327">
        <w:t>. For dates before 01/04/22 a conversion from the unit m³/h to the unit kWh/h is done:</w:t>
      </w:r>
    </w:p>
    <w:p w14:paraId="2263A1CB" w14:textId="244FC94A" w:rsidR="00814327" w:rsidRPr="00814327" w:rsidRDefault="007770FB" w:rsidP="004C5005">
      <w:pPr>
        <w:pStyle w:val="ListParagraph"/>
        <w:numPr>
          <w:ilvl w:val="2"/>
          <w:numId w:val="1"/>
        </w:numPr>
        <w:spacing w:after="0"/>
        <w:ind w:left="1800"/>
      </w:pPr>
      <w:r>
        <w:t>A</w:t>
      </w:r>
      <w:r w:rsidR="00814327" w:rsidRPr="00814327">
        <w:t xml:space="preserve"> fixed GCV of 11,3 </w:t>
      </w:r>
      <w:r w:rsidR="00F4784A">
        <w:t xml:space="preserve">kWh/m³ </w:t>
      </w:r>
      <w:r w:rsidR="00814327" w:rsidRPr="00814327">
        <w:t>is used</w:t>
      </w:r>
      <w:r>
        <w:t xml:space="preserve"> for subscribed capacities.</w:t>
      </w:r>
    </w:p>
    <w:p w14:paraId="6342B82B" w14:textId="40065ECB" w:rsidR="00814327" w:rsidRDefault="007770FB" w:rsidP="004C5005">
      <w:pPr>
        <w:pStyle w:val="ListParagraph"/>
        <w:numPr>
          <w:ilvl w:val="2"/>
          <w:numId w:val="1"/>
        </w:numPr>
        <w:spacing w:after="0"/>
        <w:ind w:left="1800"/>
      </w:pPr>
      <w:r>
        <w:t>The measured</w:t>
      </w:r>
      <w:r w:rsidR="00814327" w:rsidRPr="00814327">
        <w:t xml:space="preserve"> GCV is used</w:t>
      </w:r>
      <w:r>
        <w:t xml:space="preserve"> for real capacities.</w:t>
      </w:r>
    </w:p>
    <w:p w14:paraId="4F6F6032" w14:textId="2EAD62D8" w:rsidR="000542BF" w:rsidRPr="00814327" w:rsidRDefault="000542BF" w:rsidP="000542BF">
      <w:pPr>
        <w:spacing w:after="0"/>
      </w:pPr>
      <w:r>
        <w:rPr>
          <w:noProof/>
        </w:rPr>
        <w:lastRenderedPageBreak/>
        <w:drawing>
          <wp:inline distT="0" distB="0" distL="0" distR="0" wp14:anchorId="4CB5C186" wp14:editId="6CA3EFA3">
            <wp:extent cx="5565775" cy="2312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3825" w14:textId="77777777" w:rsidR="00814327" w:rsidRPr="00814327" w:rsidRDefault="00814327" w:rsidP="00814327">
      <w:pPr>
        <w:pStyle w:val="ListParagraph"/>
        <w:spacing w:after="0"/>
        <w:ind w:left="2520"/>
      </w:pPr>
    </w:p>
    <w:p w14:paraId="4A9693D8" w14:textId="07EE3BF9" w:rsidR="00814327" w:rsidRPr="00B209F9" w:rsidRDefault="00814327" w:rsidP="00C9531A">
      <w:pPr>
        <w:pStyle w:val="ListParagraph"/>
        <w:numPr>
          <w:ilvl w:val="0"/>
          <w:numId w:val="1"/>
        </w:numPr>
      </w:pPr>
      <w:r w:rsidRPr="00B209F9">
        <w:t xml:space="preserve">Capacity Rights </w:t>
      </w:r>
      <w:r w:rsidR="005A5143" w:rsidRPr="00B209F9">
        <w:t>Injection</w:t>
      </w:r>
      <w:r w:rsidRPr="00B209F9">
        <w:t xml:space="preserve"> - daily view</w:t>
      </w:r>
      <w:r w:rsidRPr="00B209F9">
        <w:tab/>
      </w:r>
    </w:p>
    <w:p w14:paraId="0DB2AC59" w14:textId="5EA47864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 xml:space="preserve">For dates </w:t>
      </w:r>
      <w:r w:rsidR="00E620F7">
        <w:t>starting from</w:t>
      </w:r>
      <w:r w:rsidRPr="00814327">
        <w:t xml:space="preserve"> 01/04/22 the column “Conditional Factor (%)” is removed and replaced by the column “Claimed Factor (%)”. For dates before 01/04/22, the Conditional Factor is still published.</w:t>
      </w:r>
    </w:p>
    <w:p w14:paraId="1A8A94DF" w14:textId="66AB8CD0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>The column “Account Factor (%)” is renamed to “</w:t>
      </w:r>
      <w:proofErr w:type="spellStart"/>
      <w:r w:rsidRPr="00814327">
        <w:t>Gis</w:t>
      </w:r>
      <w:proofErr w:type="spellEnd"/>
      <w:r w:rsidRPr="00814327">
        <w:t xml:space="preserve"> Exceeding Factor (%)”</w:t>
      </w:r>
      <w:r w:rsidR="00E620F7">
        <w:t>.</w:t>
      </w:r>
    </w:p>
    <w:p w14:paraId="517DEDE0" w14:textId="5E45E466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>The column “DAM/NNS [m³/h]” is renamed to “Booster capacity [kwh/h]”</w:t>
      </w:r>
      <w:r w:rsidR="00E620F7">
        <w:t>.</w:t>
      </w:r>
    </w:p>
    <w:p w14:paraId="671B936C" w14:textId="5885D755" w:rsidR="00814327" w:rsidRPr="00814327" w:rsidRDefault="00814327" w:rsidP="00C9531A">
      <w:pPr>
        <w:pStyle w:val="ListParagraph"/>
        <w:numPr>
          <w:ilvl w:val="1"/>
          <w:numId w:val="1"/>
        </w:numPr>
      </w:pPr>
      <w:r w:rsidRPr="00814327">
        <w:t>All capacities are reported in the unit kWh</w:t>
      </w:r>
      <w:r w:rsidR="00165F61">
        <w:t>/h</w:t>
      </w:r>
      <w:r w:rsidRPr="00814327">
        <w:t xml:space="preserve"> instead of the unit m³</w:t>
      </w:r>
      <w:r w:rsidR="00165F61">
        <w:t>/h</w:t>
      </w:r>
      <w:r w:rsidRPr="00814327">
        <w:t>. For dates before 01/04/22 a conversion from the unit m³/h to the unit kWh/h is done:</w:t>
      </w:r>
    </w:p>
    <w:p w14:paraId="3E51EFC5" w14:textId="5EA714CF" w:rsidR="004C5005" w:rsidRPr="00814327" w:rsidRDefault="004C5005" w:rsidP="004C5005">
      <w:pPr>
        <w:pStyle w:val="ListParagraph"/>
        <w:numPr>
          <w:ilvl w:val="2"/>
          <w:numId w:val="1"/>
        </w:numPr>
        <w:spacing w:after="0"/>
      </w:pPr>
      <w:r>
        <w:t>A</w:t>
      </w:r>
      <w:r w:rsidRPr="00814327">
        <w:t xml:space="preserve"> fixed GCV of 11,3 </w:t>
      </w:r>
      <w:r w:rsidR="00F4784A">
        <w:t xml:space="preserve">kWh/m³ </w:t>
      </w:r>
      <w:r w:rsidRPr="00814327">
        <w:t>is used</w:t>
      </w:r>
      <w:r>
        <w:t xml:space="preserve"> for subscribed capacities.</w:t>
      </w:r>
    </w:p>
    <w:p w14:paraId="6868310E" w14:textId="27E8F943" w:rsidR="004C5005" w:rsidRDefault="004C5005" w:rsidP="004C5005">
      <w:pPr>
        <w:pStyle w:val="ListParagraph"/>
        <w:numPr>
          <w:ilvl w:val="2"/>
          <w:numId w:val="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2FAF4613" w14:textId="3BBDE410" w:rsidR="000542BF" w:rsidRPr="00814327" w:rsidRDefault="000542BF" w:rsidP="000542BF">
      <w:pPr>
        <w:spacing w:after="0"/>
      </w:pPr>
      <w:r>
        <w:rPr>
          <w:noProof/>
        </w:rPr>
        <w:drawing>
          <wp:inline distT="0" distB="0" distL="0" distR="0" wp14:anchorId="7EE31FF0" wp14:editId="40476BA0">
            <wp:extent cx="5565775" cy="2308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8B8A" w14:textId="77777777" w:rsidR="00C9531A" w:rsidRDefault="00C9531A" w:rsidP="00C9531A">
      <w:pPr>
        <w:pStyle w:val="ListParagraph"/>
        <w:ind w:left="2160"/>
      </w:pPr>
    </w:p>
    <w:p w14:paraId="45776530" w14:textId="77777777" w:rsidR="0060521D" w:rsidRDefault="0070364A" w:rsidP="0060521D">
      <w:pPr>
        <w:pStyle w:val="ListParagraph"/>
        <w:numPr>
          <w:ilvl w:val="0"/>
          <w:numId w:val="1"/>
        </w:numPr>
      </w:pPr>
      <w:r w:rsidRPr="00B209F9">
        <w:t>Capacity Rights Withdrawal</w:t>
      </w:r>
      <w:r w:rsidR="00A52FEF" w:rsidRPr="00B209F9">
        <w:t xml:space="preserve"> </w:t>
      </w:r>
      <w:r w:rsidR="00CC5B6B" w:rsidRPr="00B209F9">
        <w:t xml:space="preserve">- </w:t>
      </w:r>
      <w:r w:rsidR="00A52FEF" w:rsidRPr="00B209F9">
        <w:t>3 months view</w:t>
      </w:r>
      <w:r w:rsidR="00A52FEF" w:rsidRPr="00B209F9">
        <w:tab/>
      </w:r>
    </w:p>
    <w:p w14:paraId="7D50651D" w14:textId="1D656ECE" w:rsidR="0060521D" w:rsidRDefault="00A06BB7" w:rsidP="0060521D">
      <w:pPr>
        <w:pStyle w:val="ListParagraph"/>
        <w:numPr>
          <w:ilvl w:val="1"/>
          <w:numId w:val="1"/>
        </w:numPr>
      </w:pPr>
      <w:r w:rsidRPr="00F24C3E">
        <w:t>The column “</w:t>
      </w:r>
      <w:r w:rsidR="00322122" w:rsidRPr="00F24C3E">
        <w:t>Firm &amp; Conditional to Installation Subscribed Capacity</w:t>
      </w:r>
      <w:r w:rsidRPr="00F24C3E">
        <w:t>” is renamed to “</w:t>
      </w:r>
      <w:r w:rsidR="00BE47F8" w:rsidRPr="00F24C3E">
        <w:t>Firm Subscribed Capacity”</w:t>
      </w:r>
      <w:r w:rsidR="0098464C">
        <w:t>.</w:t>
      </w:r>
    </w:p>
    <w:p w14:paraId="378887E7" w14:textId="77777777" w:rsidR="0098464C" w:rsidRDefault="00A52FEF" w:rsidP="0098464C">
      <w:pPr>
        <w:pStyle w:val="ListParagraph"/>
        <w:numPr>
          <w:ilvl w:val="1"/>
          <w:numId w:val="1"/>
        </w:numPr>
      </w:pPr>
      <w:r w:rsidRPr="00F24C3E">
        <w:t>F</w:t>
      </w:r>
      <w:r w:rsidR="002D66D1" w:rsidRPr="00F24C3E">
        <w:t>or dates</w:t>
      </w:r>
      <w:r w:rsidR="0098464C">
        <w:t xml:space="preserve"> starting from</w:t>
      </w:r>
      <w:r w:rsidRPr="00F24C3E">
        <w:t xml:space="preserve"> 01/04/22 there is no data </w:t>
      </w:r>
      <w:r w:rsidR="0098464C">
        <w:t xml:space="preserve">published </w:t>
      </w:r>
      <w:r w:rsidRPr="00F24C3E">
        <w:t>for the column</w:t>
      </w:r>
      <w:r w:rsidR="00332EE7" w:rsidRPr="00F24C3E">
        <w:t>s</w:t>
      </w:r>
      <w:r w:rsidRPr="00F24C3E">
        <w:t xml:space="preserve"> </w:t>
      </w:r>
      <w:r w:rsidR="00332EE7" w:rsidRPr="00F24C3E">
        <w:t>“</w:t>
      </w:r>
      <w:r w:rsidR="00BE47F8" w:rsidRPr="00F24C3E">
        <w:t xml:space="preserve">Conditional Subscribed </w:t>
      </w:r>
      <w:r w:rsidR="00332EE7" w:rsidRPr="00F24C3E">
        <w:t>Capacity” and “Subscribed</w:t>
      </w:r>
      <w:r w:rsidR="00ED76E4" w:rsidRPr="00F24C3E">
        <w:t xml:space="preserve"> </w:t>
      </w:r>
      <w:r w:rsidR="00332EE7" w:rsidRPr="00F24C3E">
        <w:t>Total</w:t>
      </w:r>
      <w:r w:rsidR="00ED76E4" w:rsidRPr="00F24C3E">
        <w:t xml:space="preserve"> </w:t>
      </w:r>
      <w:r w:rsidR="00332EE7" w:rsidRPr="00F24C3E">
        <w:t>Capacity”</w:t>
      </w:r>
      <w:r w:rsidR="0098464C">
        <w:t>.</w:t>
      </w:r>
    </w:p>
    <w:p w14:paraId="760097AD" w14:textId="77777777" w:rsidR="0098464C" w:rsidRDefault="003917D5" w:rsidP="0098464C">
      <w:pPr>
        <w:pStyle w:val="ListParagraph"/>
        <w:numPr>
          <w:ilvl w:val="1"/>
          <w:numId w:val="1"/>
        </w:numPr>
      </w:pPr>
      <w:r w:rsidRPr="00F24C3E">
        <w:t xml:space="preserve">A new column “Priority Booster Capacity” is added. </w:t>
      </w:r>
    </w:p>
    <w:p w14:paraId="109C09A4" w14:textId="3394FED2" w:rsidR="005E69CD" w:rsidRPr="00F24C3E" w:rsidRDefault="005E69CD" w:rsidP="0098464C">
      <w:pPr>
        <w:pStyle w:val="ListParagraph"/>
        <w:numPr>
          <w:ilvl w:val="1"/>
          <w:numId w:val="1"/>
        </w:numPr>
      </w:pPr>
      <w:r w:rsidRPr="00F24C3E">
        <w:lastRenderedPageBreak/>
        <w:t>All capacities are reported in the unit kWh instead of the unit m³. For dates before 01/04/22 a conversion from the unit m³/h to the unit kWh/h is done:</w:t>
      </w:r>
    </w:p>
    <w:p w14:paraId="394D31F9" w14:textId="15AEB56D" w:rsidR="0060521D" w:rsidRPr="00814327" w:rsidRDefault="0060521D" w:rsidP="0098464C">
      <w:pPr>
        <w:pStyle w:val="ListParagraph"/>
        <w:numPr>
          <w:ilvl w:val="0"/>
          <w:numId w:val="11"/>
        </w:numPr>
        <w:spacing w:after="0"/>
      </w:pPr>
      <w:r>
        <w:t>A</w:t>
      </w:r>
      <w:r w:rsidRPr="00814327">
        <w:t xml:space="preserve"> fixed GCV of 11,3 </w:t>
      </w:r>
      <w:r w:rsidR="00F4784A">
        <w:t xml:space="preserve">kWh/m³ </w:t>
      </w:r>
      <w:r w:rsidRPr="00814327">
        <w:t>is used</w:t>
      </w:r>
      <w:r>
        <w:t xml:space="preserve"> for subscribed capacities.</w:t>
      </w:r>
    </w:p>
    <w:p w14:paraId="6182F9EB" w14:textId="0EF8A04F" w:rsidR="0060521D" w:rsidRDefault="0060521D" w:rsidP="0098464C">
      <w:pPr>
        <w:pStyle w:val="ListParagraph"/>
        <w:numPr>
          <w:ilvl w:val="0"/>
          <w:numId w:val="1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732ABF9A" w14:textId="5BD4C2AF" w:rsidR="000542BF" w:rsidRDefault="000542BF" w:rsidP="000542BF">
      <w:pPr>
        <w:spacing w:after="0"/>
      </w:pPr>
    </w:p>
    <w:p w14:paraId="0C3DA000" w14:textId="29EAC1F4" w:rsidR="000542BF" w:rsidRPr="00814327" w:rsidRDefault="000542BF" w:rsidP="000542BF">
      <w:pPr>
        <w:spacing w:after="0"/>
      </w:pPr>
      <w:r>
        <w:rPr>
          <w:noProof/>
        </w:rPr>
        <w:drawing>
          <wp:inline distT="0" distB="0" distL="0" distR="0" wp14:anchorId="2E1F6756" wp14:editId="701C30FE">
            <wp:extent cx="5565775" cy="172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E8B4" w14:textId="77777777" w:rsidR="008C2802" w:rsidRPr="00F24C3E" w:rsidRDefault="008C2802" w:rsidP="008C2802">
      <w:pPr>
        <w:pStyle w:val="ListParagraph"/>
        <w:spacing w:after="0"/>
        <w:ind w:left="2520"/>
      </w:pPr>
    </w:p>
    <w:p w14:paraId="57D64151" w14:textId="427DE08D" w:rsidR="008C2802" w:rsidRPr="00B209F9" w:rsidRDefault="008C2802" w:rsidP="00C9531A">
      <w:pPr>
        <w:pStyle w:val="ListParagraph"/>
        <w:numPr>
          <w:ilvl w:val="0"/>
          <w:numId w:val="1"/>
        </w:numPr>
      </w:pPr>
      <w:r w:rsidRPr="00B209F9">
        <w:t>Capacity Rights Withdrawal - daily view</w:t>
      </w:r>
      <w:r w:rsidRPr="00B209F9">
        <w:tab/>
      </w:r>
    </w:p>
    <w:p w14:paraId="48A5CACF" w14:textId="0B8FAB72" w:rsidR="009123FD" w:rsidRPr="00F24C3E" w:rsidRDefault="00C63C73" w:rsidP="00C9531A">
      <w:pPr>
        <w:pStyle w:val="ListParagraph"/>
        <w:numPr>
          <w:ilvl w:val="1"/>
          <w:numId w:val="1"/>
        </w:numPr>
      </w:pPr>
      <w:r w:rsidRPr="00F24C3E">
        <w:t xml:space="preserve">For </w:t>
      </w:r>
      <w:r w:rsidR="007B1165">
        <w:t>dates</w:t>
      </w:r>
      <w:r w:rsidRPr="00F24C3E">
        <w:t xml:space="preserve"> </w:t>
      </w:r>
      <w:r w:rsidR="007B1165">
        <w:t>starting from</w:t>
      </w:r>
      <w:r w:rsidR="00936FF3" w:rsidRPr="00F24C3E">
        <w:t xml:space="preserve"> 01/04/22 the column “Conditional Factor</w:t>
      </w:r>
      <w:r w:rsidR="003C4E02" w:rsidRPr="00F24C3E">
        <w:t xml:space="preserve"> (%)</w:t>
      </w:r>
      <w:r w:rsidR="00936FF3" w:rsidRPr="00F24C3E">
        <w:t>” is removed and replaced by the column “Claimed Factor</w:t>
      </w:r>
      <w:r w:rsidR="003C4E02" w:rsidRPr="00F24C3E">
        <w:t xml:space="preserve"> (%)</w:t>
      </w:r>
      <w:r w:rsidR="00936FF3" w:rsidRPr="00F24C3E">
        <w:t xml:space="preserve">”. For dates before 01/04/22, the </w:t>
      </w:r>
      <w:r w:rsidR="009123FD" w:rsidRPr="00F24C3E">
        <w:t xml:space="preserve">Conditional Factor is still </w:t>
      </w:r>
      <w:r w:rsidR="00E023FE" w:rsidRPr="00F24C3E">
        <w:t>published.</w:t>
      </w:r>
    </w:p>
    <w:p w14:paraId="19E5323B" w14:textId="5BA843FE" w:rsidR="005F33DC" w:rsidRPr="00F24C3E" w:rsidRDefault="009123FD" w:rsidP="00C9531A">
      <w:pPr>
        <w:pStyle w:val="ListParagraph"/>
        <w:numPr>
          <w:ilvl w:val="1"/>
          <w:numId w:val="1"/>
        </w:numPr>
      </w:pPr>
      <w:r w:rsidRPr="00F24C3E">
        <w:t xml:space="preserve">The </w:t>
      </w:r>
      <w:r w:rsidR="00EE2EDF" w:rsidRPr="00F24C3E">
        <w:t xml:space="preserve">column </w:t>
      </w:r>
      <w:r w:rsidR="0070364A" w:rsidRPr="00F24C3E">
        <w:t>“Account Factor</w:t>
      </w:r>
      <w:r w:rsidR="003C4E02" w:rsidRPr="00F24C3E">
        <w:t xml:space="preserve"> (%)</w:t>
      </w:r>
      <w:r w:rsidR="0070364A" w:rsidRPr="00F24C3E">
        <w:t xml:space="preserve">” </w:t>
      </w:r>
      <w:r w:rsidRPr="00F24C3E">
        <w:t>is renamed to</w:t>
      </w:r>
      <w:r w:rsidR="0070364A" w:rsidRPr="00F24C3E">
        <w:t xml:space="preserve"> “</w:t>
      </w:r>
      <w:proofErr w:type="spellStart"/>
      <w:r w:rsidR="005F33DC" w:rsidRPr="00F24C3E">
        <w:t>Gis</w:t>
      </w:r>
      <w:proofErr w:type="spellEnd"/>
      <w:r w:rsidR="005F33DC" w:rsidRPr="00F24C3E">
        <w:t xml:space="preserve"> </w:t>
      </w:r>
      <w:r w:rsidR="0070364A" w:rsidRPr="00F24C3E">
        <w:t>Exceeding Factor</w:t>
      </w:r>
      <w:r w:rsidR="003C4E02" w:rsidRPr="00F24C3E">
        <w:t xml:space="preserve"> (%)</w:t>
      </w:r>
      <w:r w:rsidR="0070364A" w:rsidRPr="00F24C3E">
        <w:t>”</w:t>
      </w:r>
      <w:r w:rsidR="00165F61">
        <w:t>.</w:t>
      </w:r>
    </w:p>
    <w:p w14:paraId="0DA2079A" w14:textId="61455617" w:rsidR="005F33DC" w:rsidRPr="00F24C3E" w:rsidRDefault="005F33DC" w:rsidP="00C9531A">
      <w:pPr>
        <w:pStyle w:val="ListParagraph"/>
        <w:numPr>
          <w:ilvl w:val="1"/>
          <w:numId w:val="1"/>
        </w:numPr>
      </w:pPr>
      <w:r w:rsidRPr="00F24C3E">
        <w:t xml:space="preserve">The column </w:t>
      </w:r>
      <w:r w:rsidR="00EE2EDF" w:rsidRPr="00F24C3E">
        <w:t>“</w:t>
      </w:r>
      <w:r w:rsidR="0070364A" w:rsidRPr="00F24C3E">
        <w:t>DAM/NNS</w:t>
      </w:r>
      <w:r w:rsidRPr="00F24C3E">
        <w:t xml:space="preserve"> </w:t>
      </w:r>
      <w:r w:rsidR="00EE2EDF" w:rsidRPr="00F24C3E">
        <w:t>[</w:t>
      </w:r>
      <w:r w:rsidR="002A58C7" w:rsidRPr="00F24C3E">
        <w:t>m³</w:t>
      </w:r>
      <w:r w:rsidR="00EE2EDF" w:rsidRPr="00F24C3E">
        <w:t xml:space="preserve">/h]” is renamed </w:t>
      </w:r>
      <w:r w:rsidR="0070364A" w:rsidRPr="00F24C3E">
        <w:t>to “Booster capacity</w:t>
      </w:r>
      <w:r w:rsidR="00EE2EDF" w:rsidRPr="00F24C3E">
        <w:t xml:space="preserve"> [kwh/h]</w:t>
      </w:r>
      <w:r w:rsidR="0070364A" w:rsidRPr="00F24C3E">
        <w:t>”</w:t>
      </w:r>
      <w:r w:rsidR="00165F61">
        <w:t>.</w:t>
      </w:r>
    </w:p>
    <w:p w14:paraId="7610CD68" w14:textId="1AB4FB27" w:rsidR="00FB54CB" w:rsidRDefault="005F33DC" w:rsidP="008B02A5">
      <w:pPr>
        <w:pStyle w:val="ListParagraph"/>
        <w:numPr>
          <w:ilvl w:val="1"/>
          <w:numId w:val="1"/>
        </w:numPr>
      </w:pPr>
      <w:r w:rsidRPr="00F24C3E">
        <w:t>All capacities are reported in the unit kWh</w:t>
      </w:r>
      <w:r w:rsidR="003822C2">
        <w:t>/h</w:t>
      </w:r>
      <w:r w:rsidRPr="00F24C3E">
        <w:t xml:space="preserve"> instead of the unit m³</w:t>
      </w:r>
      <w:r w:rsidR="003822C2">
        <w:t>/h</w:t>
      </w:r>
      <w:r w:rsidRPr="00F24C3E">
        <w:t>. For dates before 01/04/22 a conversion from the unit m³/h to the unit kWh/h is done:</w:t>
      </w:r>
    </w:p>
    <w:p w14:paraId="0EE01B9B" w14:textId="77777777" w:rsidR="008B02A5" w:rsidRPr="00814327" w:rsidRDefault="008B02A5" w:rsidP="008B02A5">
      <w:pPr>
        <w:pStyle w:val="ListParagraph"/>
        <w:numPr>
          <w:ilvl w:val="2"/>
          <w:numId w:val="1"/>
        </w:numPr>
        <w:spacing w:after="0"/>
      </w:pPr>
      <w:r>
        <w:t>A</w:t>
      </w:r>
      <w:r w:rsidRPr="00814327">
        <w:t xml:space="preserve"> fixed GCV of 11,3 </w:t>
      </w:r>
      <w:r>
        <w:t xml:space="preserve">kWh/m³ </w:t>
      </w:r>
      <w:r w:rsidRPr="00814327">
        <w:t>is used</w:t>
      </w:r>
      <w:r>
        <w:t xml:space="preserve"> for subscribed capacities.</w:t>
      </w:r>
    </w:p>
    <w:p w14:paraId="468FB2AB" w14:textId="0490777D" w:rsidR="008B02A5" w:rsidRDefault="008B02A5" w:rsidP="008B02A5">
      <w:pPr>
        <w:pStyle w:val="ListParagraph"/>
        <w:numPr>
          <w:ilvl w:val="2"/>
          <w:numId w:val="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3544A996" w14:textId="642C0ECB" w:rsidR="000542BF" w:rsidRDefault="000542BF" w:rsidP="000542BF">
      <w:pPr>
        <w:spacing w:after="0"/>
      </w:pPr>
    </w:p>
    <w:p w14:paraId="09407657" w14:textId="4CEF1692" w:rsidR="000542BF" w:rsidRPr="00814327" w:rsidRDefault="000542BF" w:rsidP="000542BF">
      <w:pPr>
        <w:spacing w:after="0"/>
      </w:pPr>
      <w:r>
        <w:rPr>
          <w:noProof/>
        </w:rPr>
        <w:drawing>
          <wp:inline distT="0" distB="0" distL="0" distR="0" wp14:anchorId="0B41BCB4" wp14:editId="77C577DB">
            <wp:extent cx="5565775" cy="17310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CE5A" w14:textId="77777777" w:rsidR="008B02A5" w:rsidRPr="00F24C3E" w:rsidRDefault="008B02A5" w:rsidP="008B02A5">
      <w:pPr>
        <w:pStyle w:val="ListParagraph"/>
        <w:ind w:left="3600"/>
      </w:pPr>
    </w:p>
    <w:p w14:paraId="192654F0" w14:textId="77777777" w:rsidR="008B2F2C" w:rsidRPr="00B209F9" w:rsidRDefault="0070364A" w:rsidP="00C9531A">
      <w:pPr>
        <w:pStyle w:val="ListParagraph"/>
        <w:numPr>
          <w:ilvl w:val="0"/>
          <w:numId w:val="1"/>
        </w:numPr>
      </w:pPr>
      <w:r w:rsidRPr="00B209F9">
        <w:t>Capacity Rights Storage</w:t>
      </w:r>
    </w:p>
    <w:p w14:paraId="6FCE21A2" w14:textId="6D93F408" w:rsidR="00257F84" w:rsidRDefault="00606574" w:rsidP="00C9531A">
      <w:pPr>
        <w:pStyle w:val="ListParagraph"/>
        <w:numPr>
          <w:ilvl w:val="0"/>
          <w:numId w:val="3"/>
        </w:numPr>
        <w:spacing w:after="0"/>
      </w:pPr>
      <w:r>
        <w:t xml:space="preserve">Starting from </w:t>
      </w:r>
      <w:r w:rsidR="0059506B" w:rsidRPr="00F24C3E">
        <w:t xml:space="preserve">01/04/22 there is no data </w:t>
      </w:r>
      <w:r>
        <w:t xml:space="preserve">published </w:t>
      </w:r>
      <w:r w:rsidR="0059506B" w:rsidRPr="00F24C3E">
        <w:t xml:space="preserve">for the column </w:t>
      </w:r>
      <w:r w:rsidR="00332EE7" w:rsidRPr="00F24C3E">
        <w:t>“</w:t>
      </w:r>
      <w:r w:rsidR="0059506B" w:rsidRPr="00F24C3E">
        <w:t>Conditional Subscribed Capacity</w:t>
      </w:r>
      <w:r w:rsidR="00332EE7" w:rsidRPr="00F24C3E">
        <w:t>”</w:t>
      </w:r>
      <w:r w:rsidR="00A74B2F">
        <w:t>.</w:t>
      </w:r>
    </w:p>
    <w:p w14:paraId="6005D143" w14:textId="1311EAE2" w:rsidR="000542BF" w:rsidRDefault="000542BF" w:rsidP="000542BF">
      <w:pPr>
        <w:spacing w:after="0"/>
      </w:pPr>
    </w:p>
    <w:p w14:paraId="316C96CD" w14:textId="67A4D47B" w:rsidR="000542BF" w:rsidRDefault="000542BF" w:rsidP="000542BF">
      <w:pPr>
        <w:spacing w:after="0"/>
      </w:pPr>
      <w:r>
        <w:rPr>
          <w:noProof/>
        </w:rPr>
        <w:lastRenderedPageBreak/>
        <w:drawing>
          <wp:inline distT="0" distB="0" distL="0" distR="0" wp14:anchorId="2207C2C6" wp14:editId="6312E9EB">
            <wp:extent cx="5565775" cy="1711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530B" w14:textId="16BDE347" w:rsidR="000542BF" w:rsidRDefault="000542BF" w:rsidP="000542BF">
      <w:pPr>
        <w:spacing w:after="0"/>
      </w:pPr>
    </w:p>
    <w:p w14:paraId="0DC4D1CB" w14:textId="77777777" w:rsidR="000542BF" w:rsidRPr="00F24C3E" w:rsidRDefault="000542BF" w:rsidP="000542BF">
      <w:pPr>
        <w:spacing w:after="0"/>
      </w:pPr>
    </w:p>
    <w:p w14:paraId="4F3FB336" w14:textId="77777777" w:rsidR="00396FB9" w:rsidRPr="00F24C3E" w:rsidRDefault="00396FB9" w:rsidP="00396FB9">
      <w:pPr>
        <w:pStyle w:val="ListParagraph"/>
        <w:spacing w:after="0"/>
        <w:ind w:left="1800"/>
      </w:pPr>
    </w:p>
    <w:p w14:paraId="4C18CC9C" w14:textId="10387F07" w:rsidR="0070364A" w:rsidRPr="00B209F9" w:rsidRDefault="0070364A" w:rsidP="00C9531A">
      <w:pPr>
        <w:pStyle w:val="ListParagraph"/>
        <w:numPr>
          <w:ilvl w:val="0"/>
          <w:numId w:val="1"/>
        </w:numPr>
      </w:pPr>
      <w:r w:rsidRPr="00B209F9">
        <w:t xml:space="preserve">Gas in storage forecast </w:t>
      </w:r>
    </w:p>
    <w:p w14:paraId="067D0A24" w14:textId="52B118A9" w:rsidR="00BB45DC" w:rsidRDefault="00D23908" w:rsidP="00BB45DC">
      <w:pPr>
        <w:pStyle w:val="ListParagraph"/>
        <w:numPr>
          <w:ilvl w:val="1"/>
          <w:numId w:val="1"/>
        </w:numPr>
      </w:pPr>
      <w:r w:rsidRPr="00F24C3E">
        <w:t xml:space="preserve">The </w:t>
      </w:r>
      <w:r w:rsidR="00461BF7">
        <w:t xml:space="preserve">column </w:t>
      </w:r>
      <w:r w:rsidR="004A51BA">
        <w:t>“</w:t>
      </w:r>
      <w:r w:rsidRPr="00F24C3E">
        <w:t>Conditional Factor</w:t>
      </w:r>
      <w:r w:rsidR="004A51BA">
        <w:t xml:space="preserve"> (%)”</w:t>
      </w:r>
      <w:r w:rsidRPr="00F24C3E">
        <w:t xml:space="preserve"> is removed</w:t>
      </w:r>
      <w:r w:rsidR="00A74B2F">
        <w:t>.</w:t>
      </w:r>
    </w:p>
    <w:p w14:paraId="6F0BE2E9" w14:textId="28CCFA4F" w:rsidR="000542BF" w:rsidRDefault="000542BF" w:rsidP="000542BF">
      <w:r>
        <w:rPr>
          <w:noProof/>
        </w:rPr>
        <w:drawing>
          <wp:inline distT="0" distB="0" distL="0" distR="0" wp14:anchorId="5AAB8157" wp14:editId="611E2E85">
            <wp:extent cx="5565775" cy="1678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C886" w14:textId="77777777" w:rsidR="00BB45DC" w:rsidRDefault="00BB45DC" w:rsidP="00BB45DC">
      <w:pPr>
        <w:pStyle w:val="ListParagraph"/>
        <w:ind w:left="1440"/>
      </w:pPr>
    </w:p>
    <w:p w14:paraId="0E07DDD3" w14:textId="5DEB98FB" w:rsidR="003A1BE2" w:rsidRDefault="00CC6DDA" w:rsidP="00C9531A">
      <w:pPr>
        <w:pStyle w:val="ListParagraph"/>
        <w:numPr>
          <w:ilvl w:val="0"/>
          <w:numId w:val="2"/>
        </w:numPr>
        <w:rPr>
          <w:lang w:eastAsia="en-GB"/>
        </w:rPr>
      </w:pPr>
      <w:r w:rsidRPr="00F24C3E">
        <w:rPr>
          <w:lang w:eastAsia="en-GB"/>
        </w:rPr>
        <w:t>The</w:t>
      </w:r>
      <w:r w:rsidR="00A9612B" w:rsidRPr="00F24C3E">
        <w:rPr>
          <w:lang w:eastAsia="en-GB"/>
        </w:rPr>
        <w:t xml:space="preserve"> </w:t>
      </w:r>
      <w:r w:rsidRPr="00F24C3E">
        <w:rPr>
          <w:lang w:eastAsia="en-GB"/>
        </w:rPr>
        <w:t xml:space="preserve">section </w:t>
      </w:r>
      <w:r w:rsidR="0070364A" w:rsidRPr="00F24C3E">
        <w:rPr>
          <w:lang w:eastAsia="en-GB"/>
        </w:rPr>
        <w:t>“DAM – NNS reports</w:t>
      </w:r>
      <w:r w:rsidR="001827E7" w:rsidRPr="00F24C3E">
        <w:rPr>
          <w:lang w:eastAsia="en-GB"/>
        </w:rPr>
        <w:t>”</w:t>
      </w:r>
      <w:r w:rsidR="0070364A" w:rsidRPr="00F24C3E">
        <w:rPr>
          <w:lang w:eastAsia="en-GB"/>
        </w:rPr>
        <w:t xml:space="preserve">  </w:t>
      </w:r>
      <w:r w:rsidRPr="00F24C3E">
        <w:rPr>
          <w:lang w:eastAsia="en-GB"/>
        </w:rPr>
        <w:t xml:space="preserve">is renamed </w:t>
      </w:r>
      <w:r w:rsidR="0070364A" w:rsidRPr="00F24C3E">
        <w:rPr>
          <w:lang w:eastAsia="en-GB"/>
        </w:rPr>
        <w:t>to “Booster reports</w:t>
      </w:r>
      <w:r w:rsidR="001827E7" w:rsidRPr="00F24C3E">
        <w:rPr>
          <w:lang w:eastAsia="en-GB"/>
        </w:rPr>
        <w:t>”</w:t>
      </w:r>
      <w:r w:rsidR="00F92D31">
        <w:rPr>
          <w:lang w:eastAsia="en-GB"/>
        </w:rPr>
        <w:t>.</w:t>
      </w:r>
    </w:p>
    <w:p w14:paraId="3258B35F" w14:textId="082A8A63" w:rsidR="000542BF" w:rsidRDefault="00E83501" w:rsidP="000542BF">
      <w:pPr>
        <w:rPr>
          <w:lang w:eastAsia="en-GB"/>
        </w:rPr>
      </w:pPr>
      <w:r>
        <w:rPr>
          <w:noProof/>
        </w:rPr>
        <w:drawing>
          <wp:inline distT="0" distB="0" distL="0" distR="0" wp14:anchorId="630BB5B4" wp14:editId="4F126B84">
            <wp:extent cx="5565775" cy="902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7884" w14:textId="77777777" w:rsidR="00BB45DC" w:rsidRDefault="00BB45DC" w:rsidP="00BB45DC">
      <w:pPr>
        <w:pStyle w:val="ListParagraph"/>
        <w:ind w:left="720"/>
        <w:rPr>
          <w:lang w:eastAsia="en-GB"/>
        </w:rPr>
      </w:pPr>
    </w:p>
    <w:p w14:paraId="24CB3DD1" w14:textId="462ED959" w:rsidR="00F92D31" w:rsidRDefault="00BB45DC" w:rsidP="00F92D31">
      <w:pPr>
        <w:pStyle w:val="ListParagraph"/>
        <w:numPr>
          <w:ilvl w:val="0"/>
          <w:numId w:val="2"/>
        </w:numPr>
        <w:spacing w:after="0" w:line="240" w:lineRule="auto"/>
        <w:rPr>
          <w:lang w:eastAsia="en-GB"/>
        </w:rPr>
      </w:pPr>
      <w:r w:rsidRPr="00BB45DC">
        <w:rPr>
          <w:lang w:eastAsia="en-GB"/>
        </w:rPr>
        <w:t>Invoici</w:t>
      </w:r>
      <w:r w:rsidR="00F92D31">
        <w:rPr>
          <w:lang w:eastAsia="en-GB"/>
        </w:rPr>
        <w:t>ng</w:t>
      </w:r>
    </w:p>
    <w:p w14:paraId="2443B439" w14:textId="541F4BAC" w:rsidR="00A52F85" w:rsidRDefault="00BB45DC" w:rsidP="00F92D31">
      <w:pPr>
        <w:pStyle w:val="ListParagraph"/>
        <w:numPr>
          <w:ilvl w:val="1"/>
          <w:numId w:val="2"/>
        </w:numPr>
        <w:spacing w:after="0" w:line="240" w:lineRule="auto"/>
        <w:rPr>
          <w:lang w:eastAsia="en-GB"/>
        </w:rPr>
      </w:pPr>
      <w:r w:rsidRPr="00BB45DC">
        <w:rPr>
          <w:lang w:eastAsia="en-GB"/>
        </w:rPr>
        <w:t xml:space="preserve">Starting </w:t>
      </w:r>
      <w:r w:rsidR="005E3F89">
        <w:rPr>
          <w:lang w:eastAsia="en-GB"/>
        </w:rPr>
        <w:t xml:space="preserve">from </w:t>
      </w:r>
      <w:r w:rsidRPr="00BB45DC">
        <w:rPr>
          <w:lang w:eastAsia="en-GB"/>
        </w:rPr>
        <w:t xml:space="preserve">01/04/2022, PDF invoices and appendixes will be abandoned and replaced by Invoice XML and Invoice Detail XML files similar to those that are used for Transmission. The product codes </w:t>
      </w:r>
      <w:r w:rsidR="002D14C9">
        <w:rPr>
          <w:lang w:eastAsia="en-GB"/>
        </w:rPr>
        <w:t xml:space="preserve">can </w:t>
      </w:r>
      <w:r w:rsidRPr="00BB45DC">
        <w:rPr>
          <w:lang w:eastAsia="en-GB"/>
        </w:rPr>
        <w:t>be found under Operational Information.</w:t>
      </w:r>
    </w:p>
    <w:p w14:paraId="6052917A" w14:textId="77777777" w:rsidR="00F92D31" w:rsidRDefault="00F92D31" w:rsidP="00F92D31">
      <w:pPr>
        <w:pStyle w:val="ListParagraph"/>
        <w:spacing w:after="0" w:line="240" w:lineRule="auto"/>
        <w:ind w:left="1440"/>
        <w:rPr>
          <w:lang w:eastAsia="en-GB"/>
        </w:rPr>
      </w:pPr>
    </w:p>
    <w:p w14:paraId="566878D0" w14:textId="4226B7AA" w:rsidR="0013492F" w:rsidRPr="0013492F" w:rsidRDefault="00A52F85" w:rsidP="0013492F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>Capacit</w:t>
      </w:r>
      <w:r w:rsidR="0060296B">
        <w:rPr>
          <w:lang w:eastAsia="en-GB"/>
        </w:rPr>
        <w:t>ies</w:t>
      </w:r>
      <w:r w:rsidR="008B0D0E">
        <w:rPr>
          <w:lang w:eastAsia="en-GB"/>
        </w:rPr>
        <w:t xml:space="preserve"> </w:t>
      </w:r>
      <w:r>
        <w:rPr>
          <w:lang w:eastAsia="en-GB"/>
        </w:rPr>
        <w:t>Download</w:t>
      </w:r>
    </w:p>
    <w:p w14:paraId="2C5E6950" w14:textId="4030D9C4" w:rsidR="00D24796" w:rsidRPr="00FE4215" w:rsidRDefault="0013492F" w:rsidP="00FE4215">
      <w:pPr>
        <w:pStyle w:val="ListParagraph"/>
        <w:numPr>
          <w:ilvl w:val="1"/>
          <w:numId w:val="1"/>
        </w:numPr>
      </w:pPr>
      <w:r w:rsidRPr="00FE4215">
        <w:t xml:space="preserve">A new </w:t>
      </w:r>
      <w:proofErr w:type="spellStart"/>
      <w:r w:rsidRPr="00FE4215">
        <w:t>CapacityServiceNature</w:t>
      </w:r>
      <w:r w:rsidR="00F9517E">
        <w:t>Type</w:t>
      </w:r>
      <w:proofErr w:type="spellEnd"/>
      <w:r w:rsidRPr="00FE4215">
        <w:t xml:space="preserve"> “</w:t>
      </w:r>
      <w:proofErr w:type="spellStart"/>
      <w:r w:rsidRPr="00FE4215">
        <w:t>PriorityBooster</w:t>
      </w:r>
      <w:proofErr w:type="spellEnd"/>
      <w:r w:rsidRPr="00FE4215">
        <w:t>” is added</w:t>
      </w:r>
      <w:r w:rsidR="00890D49">
        <w:t>.</w:t>
      </w:r>
    </w:p>
    <w:p w14:paraId="078E8B19" w14:textId="63541610" w:rsidR="006D6324" w:rsidRDefault="00EB6755" w:rsidP="006D6324">
      <w:pPr>
        <w:pStyle w:val="ListParagraph"/>
        <w:numPr>
          <w:ilvl w:val="1"/>
          <w:numId w:val="1"/>
        </w:numPr>
      </w:pPr>
      <w:r w:rsidRPr="00FE4215">
        <w:t xml:space="preserve">The </w:t>
      </w:r>
      <w:proofErr w:type="spellStart"/>
      <w:r w:rsidRPr="00FE4215">
        <w:t>CapacityServiceNature</w:t>
      </w:r>
      <w:r w:rsidR="00F9517E">
        <w:t>Type</w:t>
      </w:r>
      <w:proofErr w:type="spellEnd"/>
      <w:r w:rsidRPr="00FE4215">
        <w:t xml:space="preserve"> “Conditional” is no longer </w:t>
      </w:r>
      <w:r w:rsidR="00FE4215" w:rsidRPr="00FE4215">
        <w:t xml:space="preserve">available </w:t>
      </w:r>
      <w:r w:rsidR="006275C1">
        <w:t>for dates starting from</w:t>
      </w:r>
      <w:r w:rsidR="00FE4215" w:rsidRPr="00FE4215">
        <w:t xml:space="preserve"> 01/04/22.</w:t>
      </w:r>
    </w:p>
    <w:p w14:paraId="60BB01B7" w14:textId="3D34A16B" w:rsidR="006C77B6" w:rsidRDefault="006D6324" w:rsidP="00890D49">
      <w:pPr>
        <w:pStyle w:val="ListParagraph"/>
        <w:numPr>
          <w:ilvl w:val="1"/>
          <w:numId w:val="1"/>
        </w:numPr>
      </w:pPr>
      <w:r w:rsidRPr="00F24C3E">
        <w:t xml:space="preserve">All </w:t>
      </w:r>
      <w:r w:rsidR="006C77B6">
        <w:t xml:space="preserve">injection and withdrawal </w:t>
      </w:r>
      <w:r w:rsidRPr="00F24C3E">
        <w:t>capacities are reported in the unit kWh</w:t>
      </w:r>
      <w:r w:rsidR="00C203DC">
        <w:t>/h</w:t>
      </w:r>
      <w:r w:rsidRPr="00F24C3E">
        <w:t xml:space="preserve"> instead of the unit m³</w:t>
      </w:r>
      <w:r w:rsidR="00C203DC">
        <w:t>/h</w:t>
      </w:r>
      <w:r w:rsidRPr="00F24C3E">
        <w:t>. For dates before 01/04/22 a conversion from the unit m³</w:t>
      </w:r>
      <w:r w:rsidR="00C203DC">
        <w:t>/h</w:t>
      </w:r>
      <w:r w:rsidRPr="00F24C3E">
        <w:t xml:space="preserve"> to the unit kWh</w:t>
      </w:r>
      <w:r w:rsidR="00C203DC">
        <w:t>/h</w:t>
      </w:r>
      <w:r w:rsidRPr="00F24C3E">
        <w:t xml:space="preserve"> is done</w:t>
      </w:r>
      <w:r>
        <w:t xml:space="preserve"> with </w:t>
      </w:r>
      <w:r w:rsidRPr="00F24C3E">
        <w:t>a fixed GCV of 11,3 kWh/</w:t>
      </w:r>
      <w:r w:rsidR="00742E76">
        <w:t xml:space="preserve"> </w:t>
      </w:r>
      <w:r w:rsidRPr="00F24C3E">
        <w:t>m³</w:t>
      </w:r>
      <w:r w:rsidR="00890D49">
        <w:t>.</w:t>
      </w:r>
    </w:p>
    <w:p w14:paraId="296504C0" w14:textId="548A2CEC" w:rsidR="006D6324" w:rsidRDefault="006C77B6" w:rsidP="009F10B0">
      <w:pPr>
        <w:pStyle w:val="ListParagraph"/>
        <w:numPr>
          <w:ilvl w:val="1"/>
          <w:numId w:val="1"/>
        </w:numPr>
      </w:pPr>
      <w:r>
        <w:lastRenderedPageBreak/>
        <w:t>Example</w:t>
      </w:r>
      <w:r w:rsidR="009F10B0">
        <w:t xml:space="preserve">: </w:t>
      </w:r>
      <w:r w:rsidRPr="00B3361F">
        <w:t>Samples\</w:t>
      </w:r>
      <w:r w:rsidR="00B3361F" w:rsidRPr="00B3361F">
        <w:t>Storage</w:t>
      </w:r>
      <w:r w:rsidRPr="00B3361F">
        <w:t>\Examples\</w:t>
      </w:r>
      <w:r w:rsidR="00757D5B">
        <w:t>Capacities.xml</w:t>
      </w:r>
      <w:r w:rsidR="00497560">
        <w:br/>
      </w:r>
    </w:p>
    <w:p w14:paraId="5E8C62E3" w14:textId="6BEAF99F" w:rsidR="00A52F85" w:rsidRPr="00244084" w:rsidRDefault="0060296B" w:rsidP="0060296B">
      <w:pPr>
        <w:pStyle w:val="ListParagraph"/>
        <w:numPr>
          <w:ilvl w:val="0"/>
          <w:numId w:val="1"/>
        </w:numPr>
        <w:rPr>
          <w:lang w:eastAsia="en-GB"/>
        </w:rPr>
      </w:pPr>
      <w:proofErr w:type="spellStart"/>
      <w:r w:rsidRPr="00244084">
        <w:rPr>
          <w:lang w:eastAsia="en-GB"/>
        </w:rPr>
        <w:t>RealCapacities</w:t>
      </w:r>
      <w:proofErr w:type="spellEnd"/>
      <w:r w:rsidRPr="00244084">
        <w:rPr>
          <w:lang w:eastAsia="en-GB"/>
        </w:rPr>
        <w:t xml:space="preserve"> Download</w:t>
      </w:r>
    </w:p>
    <w:p w14:paraId="1B77726E" w14:textId="1AD31D9B" w:rsidR="0060296B" w:rsidRPr="00244084" w:rsidRDefault="006B708A" w:rsidP="0060296B">
      <w:pPr>
        <w:pStyle w:val="ListParagraph"/>
        <w:numPr>
          <w:ilvl w:val="1"/>
          <w:numId w:val="1"/>
        </w:numPr>
      </w:pPr>
      <w:r w:rsidRPr="00244084">
        <w:t xml:space="preserve">The </w:t>
      </w:r>
      <w:proofErr w:type="spellStart"/>
      <w:r w:rsidRPr="00244084">
        <w:t>FactorType</w:t>
      </w:r>
      <w:proofErr w:type="spellEnd"/>
      <w:r w:rsidRPr="00244084">
        <w:t xml:space="preserve"> “</w:t>
      </w:r>
      <w:proofErr w:type="spellStart"/>
      <w:r w:rsidRPr="00244084">
        <w:t>ConditionalFactor</w:t>
      </w:r>
      <w:proofErr w:type="spellEnd"/>
      <w:r w:rsidRPr="00244084">
        <w:t xml:space="preserve">” is no longer published </w:t>
      </w:r>
      <w:r w:rsidR="0063062F">
        <w:t xml:space="preserve">for dates starting </w:t>
      </w:r>
      <w:r w:rsidRPr="00244084">
        <w:t>from 01/04/22.</w:t>
      </w:r>
    </w:p>
    <w:p w14:paraId="7DAA6A70" w14:textId="302393DC" w:rsidR="006B708A" w:rsidRPr="00244084" w:rsidRDefault="006B708A" w:rsidP="0060296B">
      <w:pPr>
        <w:pStyle w:val="ListParagraph"/>
        <w:numPr>
          <w:ilvl w:val="1"/>
          <w:numId w:val="1"/>
        </w:numPr>
      </w:pPr>
      <w:r w:rsidRPr="00244084">
        <w:t xml:space="preserve">A new </w:t>
      </w:r>
      <w:proofErr w:type="spellStart"/>
      <w:r w:rsidRPr="00244084">
        <w:t>FactorType</w:t>
      </w:r>
      <w:proofErr w:type="spellEnd"/>
      <w:r w:rsidRPr="00244084">
        <w:t xml:space="preserve"> “</w:t>
      </w:r>
      <w:proofErr w:type="spellStart"/>
      <w:r w:rsidRPr="00244084">
        <w:t>ClaimedFactor</w:t>
      </w:r>
      <w:proofErr w:type="spellEnd"/>
      <w:r w:rsidRPr="00244084">
        <w:t>” is added</w:t>
      </w:r>
      <w:r w:rsidR="0063062F">
        <w:t>.</w:t>
      </w:r>
    </w:p>
    <w:p w14:paraId="0233E70C" w14:textId="5FEC1C83" w:rsidR="0011553E" w:rsidRPr="00244084" w:rsidRDefault="0011553E" w:rsidP="0060296B">
      <w:pPr>
        <w:pStyle w:val="ListParagraph"/>
        <w:numPr>
          <w:ilvl w:val="1"/>
          <w:numId w:val="1"/>
        </w:numPr>
      </w:pPr>
      <w:r w:rsidRPr="00244084">
        <w:t xml:space="preserve">The </w:t>
      </w:r>
      <w:proofErr w:type="spellStart"/>
      <w:r w:rsidRPr="00244084">
        <w:t>FactorType</w:t>
      </w:r>
      <w:proofErr w:type="spellEnd"/>
      <w:r w:rsidRPr="00244084">
        <w:t xml:space="preserve"> “</w:t>
      </w:r>
      <w:proofErr w:type="spellStart"/>
      <w:r w:rsidRPr="00244084">
        <w:t>AccountFactor</w:t>
      </w:r>
      <w:proofErr w:type="spellEnd"/>
      <w:r w:rsidRPr="00244084">
        <w:t>” is renamed to “</w:t>
      </w:r>
      <w:proofErr w:type="spellStart"/>
      <w:r w:rsidRPr="00244084">
        <w:t>GisExceedingFactor</w:t>
      </w:r>
      <w:proofErr w:type="spellEnd"/>
      <w:r w:rsidRPr="00244084">
        <w:t>”</w:t>
      </w:r>
      <w:r w:rsidR="0063062F">
        <w:t>.</w:t>
      </w:r>
    </w:p>
    <w:p w14:paraId="5FD3C313" w14:textId="1FB85645" w:rsidR="00FF6940" w:rsidRPr="00244084" w:rsidRDefault="00FF6940" w:rsidP="0060296B">
      <w:pPr>
        <w:pStyle w:val="ListParagraph"/>
        <w:numPr>
          <w:ilvl w:val="1"/>
          <w:numId w:val="1"/>
        </w:numPr>
      </w:pPr>
      <w:r w:rsidRPr="00244084">
        <w:t xml:space="preserve">The </w:t>
      </w:r>
      <w:proofErr w:type="spellStart"/>
      <w:r w:rsidR="00C060D3" w:rsidRPr="00244084">
        <w:t>CapacityServiceType</w:t>
      </w:r>
      <w:proofErr w:type="spellEnd"/>
      <w:r w:rsidR="00C060D3" w:rsidRPr="00244084">
        <w:t xml:space="preserve"> </w:t>
      </w:r>
      <w:r w:rsidRPr="00244084">
        <w:t>”DAM/NNS” is renamed to “</w:t>
      </w:r>
      <w:proofErr w:type="spellStart"/>
      <w:r w:rsidRPr="00244084">
        <w:t>Booster</w:t>
      </w:r>
      <w:r w:rsidR="00C060D3" w:rsidRPr="00244084">
        <w:t>Capacity</w:t>
      </w:r>
      <w:proofErr w:type="spellEnd"/>
      <w:r w:rsidR="0063062F">
        <w:t>”.</w:t>
      </w:r>
    </w:p>
    <w:p w14:paraId="7E788DA4" w14:textId="77777777" w:rsidR="00244084" w:rsidRPr="00244084" w:rsidRDefault="0060296B" w:rsidP="0060296B">
      <w:pPr>
        <w:pStyle w:val="ListParagraph"/>
        <w:numPr>
          <w:ilvl w:val="1"/>
          <w:numId w:val="1"/>
        </w:numPr>
      </w:pPr>
      <w:r w:rsidRPr="00244084">
        <w:t xml:space="preserve">All injection and withdrawal capacities are reported in the unit kWh/h instead of the unit m³/h. </w:t>
      </w:r>
      <w:r w:rsidR="00244084" w:rsidRPr="00244084">
        <w:t>For dates before 01/04/22 a conversion from the unit m³/h to the unit kWh/h is done:</w:t>
      </w:r>
    </w:p>
    <w:p w14:paraId="02DDEC20" w14:textId="77777777" w:rsidR="004C5ECD" w:rsidRPr="00814327" w:rsidRDefault="004C5ECD" w:rsidP="004C5ECD">
      <w:pPr>
        <w:pStyle w:val="ListParagraph"/>
        <w:numPr>
          <w:ilvl w:val="2"/>
          <w:numId w:val="1"/>
        </w:numPr>
        <w:spacing w:after="0"/>
      </w:pPr>
      <w:r>
        <w:t>A</w:t>
      </w:r>
      <w:r w:rsidRPr="00814327">
        <w:t xml:space="preserve"> fixed GCV of 11,3 </w:t>
      </w:r>
      <w:r>
        <w:t xml:space="preserve">kWh/m³ </w:t>
      </w:r>
      <w:r w:rsidRPr="00814327">
        <w:t>is used</w:t>
      </w:r>
      <w:r>
        <w:t xml:space="preserve"> for subscribed capacities.</w:t>
      </w:r>
    </w:p>
    <w:p w14:paraId="0495D375" w14:textId="3D1D339A" w:rsidR="004C5ECD" w:rsidRDefault="004C5ECD" w:rsidP="004C5ECD">
      <w:pPr>
        <w:pStyle w:val="ListParagraph"/>
        <w:numPr>
          <w:ilvl w:val="2"/>
          <w:numId w:val="1"/>
        </w:numPr>
        <w:spacing w:after="0"/>
      </w:pPr>
      <w:r>
        <w:t>The measured</w:t>
      </w:r>
      <w:r w:rsidRPr="00814327">
        <w:t xml:space="preserve"> GCV is used</w:t>
      </w:r>
      <w:r>
        <w:t xml:space="preserve"> for real capacities.</w:t>
      </w:r>
    </w:p>
    <w:p w14:paraId="71CF1976" w14:textId="4468D3E5" w:rsidR="008F4F1F" w:rsidRPr="00BB45DC" w:rsidRDefault="0060296B" w:rsidP="00BB45DC">
      <w:pPr>
        <w:pStyle w:val="ListParagraph"/>
        <w:numPr>
          <w:ilvl w:val="1"/>
          <w:numId w:val="1"/>
        </w:numPr>
      </w:pPr>
      <w:r w:rsidRPr="00244084">
        <w:t>Example: Samples\Storage\Examples\</w:t>
      </w:r>
      <w:r w:rsidR="009F10B0" w:rsidRPr="00244084">
        <w:t>Real</w:t>
      </w:r>
      <w:r w:rsidRPr="00244084">
        <w:t>Capacities.xml</w:t>
      </w:r>
    </w:p>
    <w:sectPr w:rsidR="008F4F1F" w:rsidRPr="00BB45DC" w:rsidSect="00DF588E">
      <w:footerReference w:type="even" r:id="rId19"/>
      <w:footerReference w:type="default" r:id="rId20"/>
      <w:pgSz w:w="11906" w:h="16838" w:code="9"/>
      <w:pgMar w:top="1440" w:right="1440" w:bottom="1440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4FC35" w14:textId="77777777" w:rsidR="008F7D6B" w:rsidRDefault="008F7D6B" w:rsidP="00594391">
      <w:r>
        <w:separator/>
      </w:r>
    </w:p>
  </w:endnote>
  <w:endnote w:type="continuationSeparator" w:id="0">
    <w:p w14:paraId="0FD09245" w14:textId="77777777" w:rsidR="008F7D6B" w:rsidRDefault="008F7D6B" w:rsidP="0059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1"/>
      <w:gridCol w:w="2922"/>
      <w:gridCol w:w="2922"/>
    </w:tblGrid>
    <w:tr w:rsidR="00594391" w:rsidRPr="00394CF8" w14:paraId="2C629412" w14:textId="77777777" w:rsidTr="000F2A8D">
      <w:tc>
        <w:tcPr>
          <w:tcW w:w="2627" w:type="dxa"/>
          <w:tcMar>
            <w:left w:w="0" w:type="dxa"/>
          </w:tcMar>
        </w:tcPr>
        <w:p w14:paraId="340CF8B6" w14:textId="77777777" w:rsidR="00594391" w:rsidRPr="0010702D" w:rsidRDefault="00594391" w:rsidP="004D65EA">
          <w:pPr>
            <w:pStyle w:val="Footer"/>
            <w:tabs>
              <w:tab w:val="clear" w:pos="4513"/>
              <w:tab w:val="clear" w:pos="9026"/>
            </w:tabs>
            <w:spacing w:before="240"/>
            <w:rPr>
              <w:lang w:val="nl-NL"/>
            </w:rPr>
          </w:pPr>
          <w:bookmarkStart w:id="0" w:name="_Hlk34819932"/>
          <w:r w:rsidRPr="0010702D">
            <w:rPr>
              <w:b/>
              <w:noProof/>
            </w:rPr>
            <w:drawing>
              <wp:anchor distT="0" distB="0" distL="114300" distR="114300" simplePos="0" relativeHeight="251661312" behindDoc="0" locked="0" layoutInCell="1" allowOverlap="1" wp14:anchorId="07367B21" wp14:editId="501E5A9C">
                <wp:simplePos x="0" y="0"/>
                <wp:positionH relativeFrom="leftMargin">
                  <wp:posOffset>0</wp:posOffset>
                </wp:positionH>
                <wp:positionV relativeFrom="paragraph">
                  <wp:posOffset>45720</wp:posOffset>
                </wp:positionV>
                <wp:extent cx="208800" cy="252000"/>
                <wp:effectExtent l="0" t="0" r="1270" b="0"/>
                <wp:wrapSquare wrapText="bothSides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800" cy="25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F04CC">
            <w:rPr>
              <w:lang w:val="nl-NL"/>
            </w:rPr>
            <w:fldChar w:fldCharType="begin"/>
          </w:r>
          <w:r w:rsidRPr="00FF04CC">
            <w:rPr>
              <w:lang w:val="nl-NL"/>
            </w:rPr>
            <w:instrText xml:space="preserve"> PAGE   \* MERGEFORMAT </w:instrText>
          </w:r>
          <w:r w:rsidRPr="00FF04CC">
            <w:rPr>
              <w:lang w:val="nl-NL"/>
            </w:rPr>
            <w:fldChar w:fldCharType="separate"/>
          </w:r>
          <w:r>
            <w:rPr>
              <w:lang w:val="nl-NL"/>
            </w:rPr>
            <w:t>1</w:t>
          </w:r>
          <w:r w:rsidRPr="00FF04CC">
            <w:rPr>
              <w:noProof/>
              <w:lang w:val="nl-NL"/>
            </w:rPr>
            <w:fldChar w:fldCharType="end"/>
          </w:r>
        </w:p>
      </w:tc>
      <w:tc>
        <w:tcPr>
          <w:tcW w:w="2628" w:type="dxa"/>
        </w:tcPr>
        <w:p w14:paraId="70AE243F" w14:textId="77777777" w:rsidR="00594391" w:rsidRPr="0010702D" w:rsidRDefault="00594391" w:rsidP="009D4956">
          <w:pPr>
            <w:pStyle w:val="Footer"/>
            <w:tabs>
              <w:tab w:val="clear" w:pos="4513"/>
              <w:tab w:val="clear" w:pos="9026"/>
            </w:tabs>
            <w:jc w:val="center"/>
            <w:rPr>
              <w:lang w:val="nl-NL"/>
            </w:rPr>
          </w:pPr>
        </w:p>
      </w:tc>
      <w:tc>
        <w:tcPr>
          <w:tcW w:w="2628" w:type="dxa"/>
        </w:tcPr>
        <w:p w14:paraId="63B185B0" w14:textId="77777777" w:rsidR="00594391" w:rsidRPr="00394CF8" w:rsidRDefault="00594391" w:rsidP="009D4956">
          <w:pPr>
            <w:pStyle w:val="Footer"/>
            <w:tabs>
              <w:tab w:val="clear" w:pos="4513"/>
              <w:tab w:val="clear" w:pos="9026"/>
            </w:tabs>
            <w:spacing w:before="240"/>
            <w:jc w:val="right"/>
            <w:rPr>
              <w:lang w:val="nl-NL"/>
            </w:rPr>
          </w:pPr>
        </w:p>
      </w:tc>
    </w:tr>
    <w:bookmarkEnd w:id="0"/>
  </w:tbl>
  <w:p w14:paraId="5CD735ED" w14:textId="77777777" w:rsidR="00594391" w:rsidRDefault="005943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1"/>
      <w:gridCol w:w="2922"/>
      <w:gridCol w:w="2922"/>
    </w:tblGrid>
    <w:tr w:rsidR="00594391" w:rsidRPr="00394CF8" w14:paraId="5DA738B3" w14:textId="77777777" w:rsidTr="007C44BD">
      <w:tc>
        <w:tcPr>
          <w:tcW w:w="2627" w:type="dxa"/>
        </w:tcPr>
        <w:p w14:paraId="7F8142A0" w14:textId="77777777" w:rsidR="00594391" w:rsidRPr="0010702D" w:rsidRDefault="00594391" w:rsidP="009D4956">
          <w:pPr>
            <w:pStyle w:val="Footer"/>
            <w:tabs>
              <w:tab w:val="clear" w:pos="4513"/>
              <w:tab w:val="clear" w:pos="9026"/>
            </w:tabs>
            <w:rPr>
              <w:lang w:val="nl-NL"/>
            </w:rPr>
          </w:pPr>
        </w:p>
      </w:tc>
      <w:tc>
        <w:tcPr>
          <w:tcW w:w="2628" w:type="dxa"/>
        </w:tcPr>
        <w:p w14:paraId="1CE5FDEC" w14:textId="77777777" w:rsidR="00594391" w:rsidRPr="0010702D" w:rsidRDefault="00594391" w:rsidP="009D4956">
          <w:pPr>
            <w:pStyle w:val="Footer"/>
            <w:tabs>
              <w:tab w:val="clear" w:pos="4513"/>
              <w:tab w:val="clear" w:pos="9026"/>
            </w:tabs>
            <w:jc w:val="center"/>
            <w:rPr>
              <w:lang w:val="nl-NL"/>
            </w:rPr>
          </w:pPr>
        </w:p>
      </w:tc>
      <w:tc>
        <w:tcPr>
          <w:tcW w:w="2628" w:type="dxa"/>
        </w:tcPr>
        <w:p w14:paraId="3E4AFBB6" w14:textId="77777777" w:rsidR="00594391" w:rsidRPr="00394CF8" w:rsidRDefault="00594391" w:rsidP="009D4956">
          <w:pPr>
            <w:pStyle w:val="Footer"/>
            <w:tabs>
              <w:tab w:val="clear" w:pos="4513"/>
              <w:tab w:val="clear" w:pos="9026"/>
            </w:tabs>
            <w:spacing w:before="240"/>
            <w:jc w:val="right"/>
            <w:rPr>
              <w:lang w:val="nl-NL"/>
            </w:rPr>
          </w:pPr>
          <w:r w:rsidRPr="0010702D"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3786E04C" wp14:editId="4C57A457">
                <wp:simplePos x="0" y="0"/>
                <wp:positionH relativeFrom="rightMargin">
                  <wp:posOffset>-146908</wp:posOffset>
                </wp:positionH>
                <wp:positionV relativeFrom="paragraph">
                  <wp:posOffset>46990</wp:posOffset>
                </wp:positionV>
                <wp:extent cx="208800" cy="252000"/>
                <wp:effectExtent l="0" t="0" r="1270" b="0"/>
                <wp:wrapSquare wrapText="bothSides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800" cy="25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0702D">
            <w:rPr>
              <w:lang w:val="nl-NL"/>
            </w:rPr>
            <w:fldChar w:fldCharType="begin"/>
          </w:r>
          <w:r w:rsidRPr="0010702D">
            <w:rPr>
              <w:lang w:val="nl-NL"/>
            </w:rPr>
            <w:instrText xml:space="preserve"> PAGE   \* MERGEFORMAT </w:instrText>
          </w:r>
          <w:r w:rsidRPr="0010702D">
            <w:rPr>
              <w:lang w:val="nl-NL"/>
            </w:rPr>
            <w:fldChar w:fldCharType="separate"/>
          </w:r>
          <w:r>
            <w:t>2</w:t>
          </w:r>
          <w:r w:rsidRPr="0010702D">
            <w:rPr>
              <w:lang w:val="nl-NL"/>
            </w:rPr>
            <w:fldChar w:fldCharType="end"/>
          </w:r>
        </w:p>
      </w:tc>
    </w:tr>
  </w:tbl>
  <w:p w14:paraId="73372515" w14:textId="77777777" w:rsidR="00594391" w:rsidRDefault="005943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B4B31" w14:textId="77777777" w:rsidR="008F7D6B" w:rsidRDefault="008F7D6B" w:rsidP="00594391">
      <w:r>
        <w:separator/>
      </w:r>
    </w:p>
  </w:footnote>
  <w:footnote w:type="continuationSeparator" w:id="0">
    <w:p w14:paraId="247EE280" w14:textId="77777777" w:rsidR="008F7D6B" w:rsidRDefault="008F7D6B" w:rsidP="005943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9BB8067"/>
    <w:multiLevelType w:val="hybridMultilevel"/>
    <w:tmpl w:val="47493F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9E0477"/>
    <w:multiLevelType w:val="hybridMultilevel"/>
    <w:tmpl w:val="D188F1A0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43A5B"/>
    <w:multiLevelType w:val="hybridMultilevel"/>
    <w:tmpl w:val="DC02FCD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992E9D"/>
    <w:multiLevelType w:val="hybridMultilevel"/>
    <w:tmpl w:val="113A4C2A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F75AA8A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5" w15:restartNumberingAfterBreak="0">
    <w:nsid w:val="0F75AA8B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1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2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3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4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5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6">
      <w:start w:val="1"/>
      <w:numFmt w:val="bullet"/>
      <w:lvlText w:val="·"/>
      <w:lvlJc w:val="left"/>
      <w:rPr>
        <w:rFonts w:ascii="Symbol" w:hAnsi="Symbol" w:cs="Symbol"/>
        <w:color w:val="000000"/>
        <w:sz w:val="20"/>
      </w:rPr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6" w15:restartNumberingAfterBreak="0">
    <w:nsid w:val="36E075F6"/>
    <w:multiLevelType w:val="hybridMultilevel"/>
    <w:tmpl w:val="4A841D98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1F761C6"/>
    <w:multiLevelType w:val="hybridMultilevel"/>
    <w:tmpl w:val="7CA65B9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F3C0577"/>
    <w:multiLevelType w:val="hybridMultilevel"/>
    <w:tmpl w:val="0E3EE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F513F"/>
    <w:multiLevelType w:val="hybridMultilevel"/>
    <w:tmpl w:val="310AA902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E812AAB"/>
    <w:multiLevelType w:val="multilevel"/>
    <w:tmpl w:val="4EB6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8580CA0"/>
    <w:multiLevelType w:val="hybridMultilevel"/>
    <w:tmpl w:val="F776F172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3"/>
  </w:num>
  <w:num w:numId="10">
    <w:abstractNumId w:val="11"/>
  </w:num>
  <w:num w:numId="1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6B"/>
    <w:rsid w:val="00000FD5"/>
    <w:rsid w:val="00016500"/>
    <w:rsid w:val="00027C81"/>
    <w:rsid w:val="0003561F"/>
    <w:rsid w:val="000542BF"/>
    <w:rsid w:val="000A05CA"/>
    <w:rsid w:val="0011553E"/>
    <w:rsid w:val="001204B4"/>
    <w:rsid w:val="001254A4"/>
    <w:rsid w:val="0013492F"/>
    <w:rsid w:val="00141038"/>
    <w:rsid w:val="001535FF"/>
    <w:rsid w:val="0015664A"/>
    <w:rsid w:val="00165F61"/>
    <w:rsid w:val="001827E7"/>
    <w:rsid w:val="001A3293"/>
    <w:rsid w:val="001A46D7"/>
    <w:rsid w:val="001A4D4F"/>
    <w:rsid w:val="001A6DB8"/>
    <w:rsid w:val="001B0DAD"/>
    <w:rsid w:val="001B5DC3"/>
    <w:rsid w:val="001B7EE3"/>
    <w:rsid w:val="001C7E41"/>
    <w:rsid w:val="001D6438"/>
    <w:rsid w:val="001E7B45"/>
    <w:rsid w:val="001F6E3E"/>
    <w:rsid w:val="00220D1F"/>
    <w:rsid w:val="00230677"/>
    <w:rsid w:val="00230812"/>
    <w:rsid w:val="00241319"/>
    <w:rsid w:val="00244084"/>
    <w:rsid w:val="00257F84"/>
    <w:rsid w:val="002842A1"/>
    <w:rsid w:val="0029148A"/>
    <w:rsid w:val="002914A5"/>
    <w:rsid w:val="002A58C7"/>
    <w:rsid w:val="002B251F"/>
    <w:rsid w:val="002D0FF9"/>
    <w:rsid w:val="002D10FD"/>
    <w:rsid w:val="002D14C9"/>
    <w:rsid w:val="002D2ECE"/>
    <w:rsid w:val="002D66D1"/>
    <w:rsid w:val="00322122"/>
    <w:rsid w:val="003238EB"/>
    <w:rsid w:val="00332EE7"/>
    <w:rsid w:val="0038189B"/>
    <w:rsid w:val="003822C2"/>
    <w:rsid w:val="003917D5"/>
    <w:rsid w:val="00396FB9"/>
    <w:rsid w:val="003A1BE2"/>
    <w:rsid w:val="003C4E02"/>
    <w:rsid w:val="003F1EF7"/>
    <w:rsid w:val="003F33E7"/>
    <w:rsid w:val="003F4DEB"/>
    <w:rsid w:val="004020F0"/>
    <w:rsid w:val="00420DA5"/>
    <w:rsid w:val="004222D8"/>
    <w:rsid w:val="00427455"/>
    <w:rsid w:val="00427EC7"/>
    <w:rsid w:val="004366FD"/>
    <w:rsid w:val="00461BF7"/>
    <w:rsid w:val="00490709"/>
    <w:rsid w:val="00493249"/>
    <w:rsid w:val="00497560"/>
    <w:rsid w:val="004A51BA"/>
    <w:rsid w:val="004A6C72"/>
    <w:rsid w:val="004B5F7D"/>
    <w:rsid w:val="004C5005"/>
    <w:rsid w:val="004C5ECD"/>
    <w:rsid w:val="004D5E6F"/>
    <w:rsid w:val="004E5931"/>
    <w:rsid w:val="004F2696"/>
    <w:rsid w:val="00500C1D"/>
    <w:rsid w:val="005441E4"/>
    <w:rsid w:val="00544268"/>
    <w:rsid w:val="00571DCE"/>
    <w:rsid w:val="00590BF6"/>
    <w:rsid w:val="00594391"/>
    <w:rsid w:val="0059506B"/>
    <w:rsid w:val="005A5143"/>
    <w:rsid w:val="005C4D7F"/>
    <w:rsid w:val="005E3F89"/>
    <w:rsid w:val="005E69CD"/>
    <w:rsid w:val="005F33DC"/>
    <w:rsid w:val="0060296B"/>
    <w:rsid w:val="0060521D"/>
    <w:rsid w:val="00606574"/>
    <w:rsid w:val="0060721A"/>
    <w:rsid w:val="0061647F"/>
    <w:rsid w:val="006263B4"/>
    <w:rsid w:val="006275C1"/>
    <w:rsid w:val="0063062F"/>
    <w:rsid w:val="00633F47"/>
    <w:rsid w:val="00647782"/>
    <w:rsid w:val="006548B7"/>
    <w:rsid w:val="0067441C"/>
    <w:rsid w:val="0068323F"/>
    <w:rsid w:val="006B708A"/>
    <w:rsid w:val="006C77B6"/>
    <w:rsid w:val="006D6324"/>
    <w:rsid w:val="0070364A"/>
    <w:rsid w:val="00705720"/>
    <w:rsid w:val="00711A2B"/>
    <w:rsid w:val="007206B5"/>
    <w:rsid w:val="00721279"/>
    <w:rsid w:val="00742E76"/>
    <w:rsid w:val="00757D5B"/>
    <w:rsid w:val="007770FB"/>
    <w:rsid w:val="00790056"/>
    <w:rsid w:val="007B1165"/>
    <w:rsid w:val="0081311C"/>
    <w:rsid w:val="00814327"/>
    <w:rsid w:val="00822F7D"/>
    <w:rsid w:val="0082671B"/>
    <w:rsid w:val="00831A1D"/>
    <w:rsid w:val="008668C1"/>
    <w:rsid w:val="00890D49"/>
    <w:rsid w:val="008A2A71"/>
    <w:rsid w:val="008B01DD"/>
    <w:rsid w:val="008B02A5"/>
    <w:rsid w:val="008B0D0E"/>
    <w:rsid w:val="008B2F2C"/>
    <w:rsid w:val="008C02EA"/>
    <w:rsid w:val="008C2802"/>
    <w:rsid w:val="008C3B37"/>
    <w:rsid w:val="008D749F"/>
    <w:rsid w:val="008E6E64"/>
    <w:rsid w:val="008F14AE"/>
    <w:rsid w:val="008F4F1F"/>
    <w:rsid w:val="008F7D6B"/>
    <w:rsid w:val="009123FD"/>
    <w:rsid w:val="00925DDE"/>
    <w:rsid w:val="00936FF3"/>
    <w:rsid w:val="009556BC"/>
    <w:rsid w:val="009835D9"/>
    <w:rsid w:val="0098464C"/>
    <w:rsid w:val="00985E2C"/>
    <w:rsid w:val="00994695"/>
    <w:rsid w:val="009B6B49"/>
    <w:rsid w:val="009E3FB3"/>
    <w:rsid w:val="009F052B"/>
    <w:rsid w:val="009F10B0"/>
    <w:rsid w:val="00A06BB7"/>
    <w:rsid w:val="00A06E10"/>
    <w:rsid w:val="00A1478F"/>
    <w:rsid w:val="00A266FA"/>
    <w:rsid w:val="00A27BAC"/>
    <w:rsid w:val="00A45D56"/>
    <w:rsid w:val="00A52F85"/>
    <w:rsid w:val="00A52FEF"/>
    <w:rsid w:val="00A74B2F"/>
    <w:rsid w:val="00A82870"/>
    <w:rsid w:val="00A9612B"/>
    <w:rsid w:val="00AB4ABA"/>
    <w:rsid w:val="00AC431D"/>
    <w:rsid w:val="00AD4BC6"/>
    <w:rsid w:val="00AF611C"/>
    <w:rsid w:val="00B209F9"/>
    <w:rsid w:val="00B3361F"/>
    <w:rsid w:val="00B36986"/>
    <w:rsid w:val="00B61EB7"/>
    <w:rsid w:val="00B915C3"/>
    <w:rsid w:val="00BA0A40"/>
    <w:rsid w:val="00BB45DC"/>
    <w:rsid w:val="00BE4356"/>
    <w:rsid w:val="00BE47F8"/>
    <w:rsid w:val="00C00A45"/>
    <w:rsid w:val="00C060D3"/>
    <w:rsid w:val="00C203DC"/>
    <w:rsid w:val="00C45668"/>
    <w:rsid w:val="00C54878"/>
    <w:rsid w:val="00C55106"/>
    <w:rsid w:val="00C63C73"/>
    <w:rsid w:val="00C84CBD"/>
    <w:rsid w:val="00C91D1F"/>
    <w:rsid w:val="00C9531A"/>
    <w:rsid w:val="00CB189F"/>
    <w:rsid w:val="00CB73DA"/>
    <w:rsid w:val="00CC5B6B"/>
    <w:rsid w:val="00CC6DDA"/>
    <w:rsid w:val="00CF6444"/>
    <w:rsid w:val="00D101D4"/>
    <w:rsid w:val="00D106EC"/>
    <w:rsid w:val="00D23787"/>
    <w:rsid w:val="00D23908"/>
    <w:rsid w:val="00D24796"/>
    <w:rsid w:val="00D7631B"/>
    <w:rsid w:val="00DD0FA9"/>
    <w:rsid w:val="00DD59DF"/>
    <w:rsid w:val="00DE674B"/>
    <w:rsid w:val="00DF4C04"/>
    <w:rsid w:val="00DF588E"/>
    <w:rsid w:val="00E023FE"/>
    <w:rsid w:val="00E071B8"/>
    <w:rsid w:val="00E125F5"/>
    <w:rsid w:val="00E2080B"/>
    <w:rsid w:val="00E44D63"/>
    <w:rsid w:val="00E52F55"/>
    <w:rsid w:val="00E620F7"/>
    <w:rsid w:val="00E778EB"/>
    <w:rsid w:val="00E83501"/>
    <w:rsid w:val="00E85C68"/>
    <w:rsid w:val="00E92152"/>
    <w:rsid w:val="00EB20BC"/>
    <w:rsid w:val="00EB559F"/>
    <w:rsid w:val="00EB6755"/>
    <w:rsid w:val="00ED13C5"/>
    <w:rsid w:val="00ED76E4"/>
    <w:rsid w:val="00EE2EDF"/>
    <w:rsid w:val="00EE4F3C"/>
    <w:rsid w:val="00F076F6"/>
    <w:rsid w:val="00F24C3E"/>
    <w:rsid w:val="00F36E68"/>
    <w:rsid w:val="00F4784A"/>
    <w:rsid w:val="00F54E37"/>
    <w:rsid w:val="00F67BD4"/>
    <w:rsid w:val="00F83058"/>
    <w:rsid w:val="00F92D31"/>
    <w:rsid w:val="00F940A9"/>
    <w:rsid w:val="00F9517E"/>
    <w:rsid w:val="00FB54CB"/>
    <w:rsid w:val="00FE4215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F8211B"/>
  <w15:chartTrackingRefBased/>
  <w15:docId w15:val="{5738C2A8-1798-44C1-B789-7E6021A6F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65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D6B"/>
    <w:pPr>
      <w:spacing w:before="0" w:after="160"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B5F7D"/>
    <w:pPr>
      <w:keepNext/>
      <w:keepLines/>
      <w:pageBreakBefore/>
      <w:spacing w:before="280" w:line="240" w:lineRule="auto"/>
      <w:outlineLvl w:val="0"/>
    </w:pPr>
    <w:rPr>
      <w:rFonts w:asciiTheme="majorHAnsi" w:eastAsiaTheme="majorEastAsia" w:hAnsiTheme="majorHAnsi" w:cstheme="majorBidi"/>
      <w:b/>
      <w:color w:val="15234A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F7D"/>
    <w:pPr>
      <w:keepNext/>
      <w:keepLines/>
      <w:spacing w:before="280" w:line="240" w:lineRule="auto"/>
      <w:outlineLvl w:val="1"/>
    </w:pPr>
    <w:rPr>
      <w:rFonts w:asciiTheme="majorHAnsi" w:eastAsiaTheme="majorEastAsia" w:hAnsiTheme="majorHAnsi" w:cstheme="majorBidi"/>
      <w:b/>
      <w:color w:val="15234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F7D"/>
    <w:pPr>
      <w:keepNext/>
      <w:keepLines/>
      <w:spacing w:before="240" w:line="240" w:lineRule="auto"/>
      <w:outlineLvl w:val="2"/>
    </w:pPr>
    <w:rPr>
      <w:rFonts w:asciiTheme="majorHAnsi" w:eastAsiaTheme="majorEastAsia" w:hAnsiTheme="majorHAnsi" w:cstheme="majorBidi"/>
      <w:b/>
      <w:color w:val="00C1D5" w:themeColor="accent1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F7D"/>
    <w:pPr>
      <w:keepNext/>
      <w:keepLines/>
      <w:spacing w:before="280" w:line="240" w:lineRule="auto"/>
      <w:outlineLvl w:val="3"/>
    </w:pPr>
    <w:rPr>
      <w:rFonts w:asciiTheme="majorHAnsi" w:eastAsiaTheme="majorEastAsia" w:hAnsiTheme="majorHAnsi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F7D"/>
    <w:pPr>
      <w:keepNext/>
      <w:keepLines/>
      <w:spacing w:before="200" w:line="240" w:lineRule="auto"/>
      <w:outlineLvl w:val="4"/>
    </w:pPr>
    <w:rPr>
      <w:rFonts w:asciiTheme="majorHAnsi" w:eastAsiaTheme="majorEastAsia" w:hAnsiTheme="majorHAnsi" w:cstheme="majorBid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F7D"/>
    <w:pPr>
      <w:keepNext/>
      <w:keepLines/>
      <w:spacing w:before="240" w:line="240" w:lineRule="auto"/>
      <w:outlineLvl w:val="5"/>
    </w:pPr>
    <w:rPr>
      <w:rFonts w:asciiTheme="majorHAnsi" w:eastAsiaTheme="majorEastAsia" w:hAnsiTheme="majorHAnsi" w:cstheme="majorBidi"/>
      <w:color w:val="15234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F7D"/>
    <w:pPr>
      <w:keepNext/>
      <w:keepLines/>
      <w:spacing w:before="240" w:line="240" w:lineRule="auto"/>
      <w:outlineLvl w:val="6"/>
    </w:pPr>
    <w:rPr>
      <w:rFonts w:asciiTheme="majorHAnsi" w:eastAsiaTheme="majorEastAsia" w:hAnsiTheme="majorHAnsi" w:cstheme="majorBidi"/>
      <w:i/>
      <w:iCs/>
      <w:color w:val="15234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F7D"/>
    <w:pPr>
      <w:keepNext/>
      <w:keepLines/>
      <w:spacing w:before="240" w:line="240" w:lineRule="auto"/>
      <w:outlineLvl w:val="7"/>
    </w:pPr>
    <w:rPr>
      <w:rFonts w:asciiTheme="majorHAnsi" w:eastAsiaTheme="majorEastAsia" w:hAnsiTheme="majorHAnsi" w:cstheme="majorBidi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F7D"/>
    <w:pPr>
      <w:keepNext/>
      <w:keepLines/>
      <w:spacing w:before="240" w:line="240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3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3E7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65"/>
    <w:qFormat/>
    <w:rsid w:val="003F33E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9B6B49"/>
    <w:p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F3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33E7"/>
    <w:rPr>
      <w:rFonts w:ascii="Arial" w:eastAsia="Arial" w:hAnsi="Arial" w:cs="Arial"/>
      <w:szCs w:val="20"/>
      <w:lang w:val="nl-BE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33E7"/>
    <w:rPr>
      <w:rFonts w:ascii="Arial" w:eastAsia="Arial" w:hAnsi="Arial" w:cs="Arial"/>
      <w:sz w:val="20"/>
      <w:szCs w:val="20"/>
      <w:lang w:val="nl-BE" w:eastAsia="en-GB"/>
    </w:rPr>
  </w:style>
  <w:style w:type="character" w:styleId="Emphasis">
    <w:name w:val="Emphasis"/>
    <w:basedOn w:val="DefaultParagraphFont"/>
    <w:uiPriority w:val="20"/>
    <w:qFormat/>
    <w:rsid w:val="003F33E7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F33E7"/>
    <w:rPr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33E7"/>
    <w:rPr>
      <w:sz w:val="18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styleId="TOC8">
    <w:name w:val="toc 8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customStyle="1" w:styleId="Focustext">
    <w:name w:val="Focus text"/>
    <w:basedOn w:val="Normal"/>
    <w:uiPriority w:val="24"/>
    <w:qFormat/>
    <w:rsid w:val="0067441C"/>
    <w:pPr>
      <w:pBdr>
        <w:top w:val="single" w:sz="18" w:space="10" w:color="00C1D5" w:themeColor="accent1"/>
        <w:left w:val="single" w:sz="18" w:space="10" w:color="00C1D5" w:themeColor="accent1"/>
        <w:bottom w:val="single" w:sz="18" w:space="10" w:color="00C1D5" w:themeColor="accent1"/>
        <w:right w:val="single" w:sz="18" w:space="10" w:color="00C1D5" w:themeColor="accent1"/>
      </w:pBdr>
      <w:spacing w:before="240" w:after="240"/>
      <w:jc w:val="center"/>
    </w:pPr>
    <w:rPr>
      <w:rFonts w:ascii="Century Gothic" w:eastAsiaTheme="minorEastAsia" w:hAnsi="Century Gothic"/>
      <w:b/>
      <w:bCs/>
      <w:szCs w:val="20"/>
      <w:lang w:val="en-US" w:eastAsia="nl-NL"/>
      <w14:textFill>
        <w14:gradFill>
          <w14:gsLst>
            <w14:gs w14:pos="0">
              <w14:schemeClr w14:val="accent1"/>
            </w14:gs>
            <w14:gs w14:pos="100000">
              <w14:schemeClr w14:val="accent6"/>
            </w14:gs>
          </w14:gsLst>
          <w14:lin w14:ang="2700000" w14:scaled="0"/>
        </w14:gradFill>
      </w14:textFill>
    </w:rPr>
  </w:style>
  <w:style w:type="paragraph" w:customStyle="1" w:styleId="Focustext2">
    <w:name w:val="Focus text 2"/>
    <w:basedOn w:val="Normal"/>
    <w:uiPriority w:val="24"/>
    <w:qFormat/>
    <w:rsid w:val="003F33E7"/>
    <w:pPr>
      <w:pBdr>
        <w:top w:val="single" w:sz="18" w:space="10" w:color="15234A" w:themeColor="text2"/>
        <w:left w:val="single" w:sz="18" w:space="10" w:color="15234A" w:themeColor="text2"/>
        <w:bottom w:val="single" w:sz="18" w:space="10" w:color="15234A" w:themeColor="text2"/>
        <w:right w:val="single" w:sz="18" w:space="10" w:color="15234A" w:themeColor="text2"/>
      </w:pBdr>
      <w:spacing w:before="240" w:after="240"/>
      <w:jc w:val="center"/>
    </w:pPr>
    <w:rPr>
      <w:rFonts w:ascii="Century Gothic" w:eastAsiaTheme="minorEastAsia" w:hAnsi="Century Gothic"/>
      <w:b/>
      <w:bCs/>
      <w:color w:val="15234A"/>
      <w:szCs w:val="20"/>
      <w:lang w:val="en-US" w:eastAsia="nl-NL"/>
    </w:rPr>
  </w:style>
  <w:style w:type="paragraph" w:styleId="Footer">
    <w:name w:val="footer"/>
    <w:basedOn w:val="Normal"/>
    <w:link w:val="FooterChar"/>
    <w:uiPriority w:val="99"/>
    <w:unhideWhenUsed/>
    <w:rsid w:val="003F33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E7"/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3E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33E7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3E7"/>
    <w:rPr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3F33E7"/>
    <w:pPr>
      <w:tabs>
        <w:tab w:val="center" w:pos="4513"/>
        <w:tab w:val="right" w:pos="9026"/>
      </w:tabs>
      <w:spacing w:after="200"/>
    </w:pPr>
  </w:style>
  <w:style w:type="character" w:customStyle="1" w:styleId="HeaderChar">
    <w:name w:val="Header Char"/>
    <w:basedOn w:val="DefaultParagraphFont"/>
    <w:link w:val="Header"/>
    <w:uiPriority w:val="99"/>
    <w:rsid w:val="003F33E7"/>
    <w:rPr>
      <w:sz w:val="20"/>
    </w:rPr>
  </w:style>
  <w:style w:type="character" w:styleId="Hyperlink">
    <w:name w:val="Hyperlink"/>
    <w:basedOn w:val="DefaultParagraphFont"/>
    <w:uiPriority w:val="99"/>
    <w:unhideWhenUsed/>
    <w:rsid w:val="003F33E7"/>
    <w:rPr>
      <w:color w:val="15234A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3F33E7"/>
    <w:rPr>
      <w:b/>
      <w:i/>
      <w:iCs/>
      <w:color w:val="0085CA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33E7"/>
    <w:pPr>
      <w:spacing w:after="360"/>
      <w:ind w:left="862" w:right="862"/>
      <w:jc w:val="center"/>
    </w:pPr>
    <w:rPr>
      <w:b/>
      <w:iCs/>
      <w:color w:val="15234A"/>
      <w:sz w:val="24"/>
      <w14:textFill>
        <w14:gradFill>
          <w14:gsLst>
            <w14:gs w14:pos="0">
              <w14:srgbClr w14:val="00C1D5"/>
            </w14:gs>
            <w14:gs w14:pos="100000">
              <w14:srgbClr w14:val="B5BD00"/>
            </w14:gs>
          </w14:gsLst>
          <w14:lin w14:ang="2700000" w14:scaled="0"/>
        </w14:gradFill>
      </w14:textFill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33E7"/>
    <w:rPr>
      <w:b/>
      <w:iCs/>
      <w:color w:val="15234A"/>
      <w:sz w:val="24"/>
      <w14:textFill>
        <w14:gradFill>
          <w14:gsLst>
            <w14:gs w14:pos="0">
              <w14:srgbClr w14:val="00C1D5"/>
            </w14:gs>
            <w14:gs w14:pos="100000">
              <w14:srgbClr w14:val="B5BD00"/>
            </w14:gs>
          </w14:gsLst>
          <w14:lin w14:ang="2700000" w14:scaled="0"/>
        </w14:gradFill>
      </w14:textFill>
    </w:rPr>
  </w:style>
  <w:style w:type="character" w:styleId="IntenseReference">
    <w:name w:val="Intense Reference"/>
    <w:basedOn w:val="DefaultParagraphFont"/>
    <w:uiPriority w:val="32"/>
    <w:qFormat/>
    <w:rsid w:val="003F33E7"/>
    <w:rPr>
      <w:b/>
      <w:bCs/>
      <w:smallCaps/>
      <w:color w:val="152361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3F33E7"/>
    <w:pPr>
      <w:spacing w:line="257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33E7"/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3F33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PageNumber">
    <w:name w:val="page number"/>
    <w:basedOn w:val="DefaultParagraphFont"/>
    <w:uiPriority w:val="99"/>
    <w:semiHidden/>
    <w:unhideWhenUsed/>
    <w:rsid w:val="003F33E7"/>
  </w:style>
  <w:style w:type="table" w:styleId="PlainTable4">
    <w:name w:val="Plain Table 4"/>
    <w:basedOn w:val="TableNormal"/>
    <w:uiPriority w:val="44"/>
    <w:rsid w:val="003F33E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AB4ABA"/>
    <w:pPr>
      <w:spacing w:before="240" w:after="240"/>
      <w:ind w:left="862" w:right="862"/>
      <w:jc w:val="center"/>
    </w:pPr>
    <w:rPr>
      <w:b/>
      <w:iCs/>
      <w:color w:val="B5BD00" w:themeColor="accent6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AB4ABA"/>
    <w:rPr>
      <w:b/>
      <w:iCs/>
      <w:color w:val="B5BD00" w:themeColor="accent6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63B4"/>
    <w:pPr>
      <w:numPr>
        <w:ilvl w:val="1"/>
      </w:numPr>
      <w:spacing w:before="200" w:line="240" w:lineRule="auto"/>
    </w:pPr>
    <w:rPr>
      <w:rFonts w:asciiTheme="majorHAnsi" w:eastAsiaTheme="minorEastAsia" w:hAnsiTheme="majorHAnsi"/>
      <w:color w:val="15234A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6263B4"/>
    <w:rPr>
      <w:rFonts w:asciiTheme="majorHAnsi" w:eastAsiaTheme="minorEastAsia" w:hAnsiTheme="majorHAnsi"/>
      <w:color w:val="15234A"/>
      <w:spacing w:val="15"/>
      <w:sz w:val="40"/>
    </w:rPr>
  </w:style>
  <w:style w:type="character" w:styleId="SubtleEmphasis">
    <w:name w:val="Subtle Emphasis"/>
    <w:basedOn w:val="DefaultParagraphFont"/>
    <w:uiPriority w:val="19"/>
    <w:qFormat/>
    <w:rsid w:val="009B6B49"/>
    <w:rPr>
      <w:rFonts w:asciiTheme="minorHAnsi" w:hAnsiTheme="minorHAnsi"/>
      <w:i/>
      <w:iCs/>
      <w:color w:val="404040" w:themeColor="text1" w:themeTint="BF"/>
      <w:sz w:val="18"/>
      <w:szCs w:val="17"/>
    </w:rPr>
  </w:style>
  <w:style w:type="character" w:styleId="SubtleReference">
    <w:name w:val="Subtle Reference"/>
    <w:basedOn w:val="DefaultParagraphFont"/>
    <w:uiPriority w:val="31"/>
    <w:qFormat/>
    <w:rsid w:val="003F33E7"/>
    <w:rPr>
      <w:smallCaps/>
      <w:color w:val="15234A"/>
    </w:rPr>
  </w:style>
  <w:style w:type="table" w:styleId="TableGrid">
    <w:name w:val="Table Grid"/>
    <w:basedOn w:val="TableNormal"/>
    <w:uiPriority w:val="39"/>
    <w:rsid w:val="003F33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263B4"/>
    <w:pPr>
      <w:spacing w:before="200" w:line="240" w:lineRule="auto"/>
      <w:contextualSpacing/>
    </w:pPr>
    <w:rPr>
      <w:rFonts w:asciiTheme="majorHAnsi" w:eastAsiaTheme="majorEastAsia" w:hAnsiTheme="majorHAnsi" w:cstheme="majorBidi"/>
      <w:b/>
      <w:color w:val="15234A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3B4"/>
    <w:rPr>
      <w:rFonts w:asciiTheme="majorHAnsi" w:eastAsiaTheme="majorEastAsia" w:hAnsiTheme="majorHAnsi" w:cstheme="majorBidi"/>
      <w:b/>
      <w:color w:val="15234A"/>
      <w:spacing w:val="-10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B5F7D"/>
    <w:rPr>
      <w:rFonts w:asciiTheme="majorHAnsi" w:eastAsiaTheme="majorEastAsia" w:hAnsiTheme="majorHAnsi" w:cstheme="majorBidi"/>
      <w:b/>
      <w:color w:val="15234A"/>
      <w:sz w:val="44"/>
      <w:szCs w:val="32"/>
    </w:rPr>
  </w:style>
  <w:style w:type="paragraph" w:styleId="TOCHeading">
    <w:name w:val="TOC Heading"/>
    <w:next w:val="Normal"/>
    <w:uiPriority w:val="39"/>
    <w:semiHidden/>
    <w:qFormat/>
    <w:rsid w:val="00230677"/>
    <w:pPr>
      <w:keepNext/>
      <w:keepLines/>
      <w:spacing w:line="240" w:lineRule="auto"/>
    </w:pPr>
    <w:rPr>
      <w:rFonts w:asciiTheme="majorHAnsi" w:eastAsiaTheme="majorEastAsia" w:hAnsiTheme="majorHAnsi" w:cstheme="majorBidi"/>
      <w:b/>
      <w:color w:val="15234A" w:themeColor="text2"/>
      <w:sz w:val="44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b/>
      <w:color w:val="15234A" w:themeColor="text2"/>
      <w:sz w:val="28"/>
    </w:rPr>
  </w:style>
  <w:style w:type="paragraph" w:customStyle="1" w:styleId="Tabletext">
    <w:name w:val="Table text"/>
    <w:basedOn w:val="Normal"/>
    <w:link w:val="TabletextChar"/>
    <w:uiPriority w:val="16"/>
    <w:qFormat/>
    <w:rsid w:val="006263B4"/>
    <w:pPr>
      <w:spacing w:line="240" w:lineRule="auto"/>
    </w:pPr>
    <w:rPr>
      <w:sz w:val="16"/>
    </w:rPr>
  </w:style>
  <w:style w:type="character" w:customStyle="1" w:styleId="TabletextChar">
    <w:name w:val="Table text Char"/>
    <w:basedOn w:val="DefaultParagraphFont"/>
    <w:link w:val="Tabletext"/>
    <w:uiPriority w:val="16"/>
    <w:rsid w:val="006263B4"/>
    <w:rPr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B5F7D"/>
    <w:rPr>
      <w:rFonts w:asciiTheme="majorHAnsi" w:eastAsiaTheme="majorEastAsia" w:hAnsiTheme="majorHAnsi" w:cstheme="majorBidi"/>
      <w:b/>
      <w:color w:val="15234A"/>
      <w:sz w:val="3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F7D"/>
    <w:rPr>
      <w:rFonts w:asciiTheme="majorHAnsi" w:eastAsiaTheme="majorEastAsia" w:hAnsiTheme="majorHAnsi" w:cstheme="majorBidi"/>
      <w:b/>
      <w:color w:val="00C1D5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F7D"/>
    <w:rPr>
      <w:rFonts w:asciiTheme="majorHAnsi" w:eastAsiaTheme="majorEastAsia" w:hAnsiTheme="majorHAnsi" w:cstheme="majorBidi"/>
      <w:b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F7D"/>
    <w:rPr>
      <w:rFonts w:asciiTheme="majorHAnsi" w:eastAsiaTheme="majorEastAsia" w:hAnsiTheme="majorHAnsi" w:cstheme="majorBidi"/>
      <w:color w:val="2F5496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F7D"/>
    <w:rPr>
      <w:rFonts w:asciiTheme="majorHAnsi" w:eastAsiaTheme="majorEastAsia" w:hAnsiTheme="majorHAnsi" w:cstheme="majorBidi"/>
      <w:color w:val="15234A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F7D"/>
    <w:rPr>
      <w:rFonts w:asciiTheme="majorHAnsi" w:eastAsiaTheme="majorEastAsia" w:hAnsiTheme="majorHAnsi" w:cstheme="majorBidi"/>
      <w:i/>
      <w:iCs/>
      <w:color w:val="15234A" w:themeColor="text2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F7D"/>
    <w:rPr>
      <w:rFonts w:asciiTheme="majorHAnsi" w:eastAsiaTheme="majorEastAsia" w:hAnsiTheme="majorHAnsi" w:cstheme="majorBidi"/>
      <w:color w:val="000000" w:themeColor="text1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F7D"/>
    <w:rPr>
      <w:rFonts w:asciiTheme="majorHAnsi" w:eastAsiaTheme="majorEastAsia" w:hAnsiTheme="majorHAnsi" w:cstheme="majorBidi"/>
      <w:i/>
      <w:iCs/>
      <w:color w:val="000000" w:themeColor="text1"/>
      <w:sz w:val="21"/>
      <w:szCs w:val="21"/>
    </w:rPr>
  </w:style>
  <w:style w:type="table" w:customStyle="1" w:styleId="FluxysTable1">
    <w:name w:val="Fluxys Table 1"/>
    <w:basedOn w:val="TableNormal"/>
    <w:uiPriority w:val="99"/>
    <w:rsid w:val="0081311C"/>
    <w:pPr>
      <w:spacing w:before="0" w:line="240" w:lineRule="auto"/>
    </w:pPr>
    <w:tblPr>
      <w:tblBorders>
        <w:bottom w:val="single" w:sz="4" w:space="0" w:color="AA0061"/>
        <w:insideH w:val="single" w:sz="4" w:space="0" w:color="AA0061"/>
      </w:tblBorders>
    </w:tblPr>
    <w:tcPr>
      <w:vAlign w:val="center"/>
    </w:tcPr>
    <w:tblStylePr w:type="firstRow">
      <w:rPr>
        <w:b/>
        <w:i w:val="0"/>
        <w:color w:val="AA0061"/>
      </w:rPr>
      <w:tblPr/>
      <w:tcPr>
        <w:tcBorders>
          <w:top w:val="nil"/>
          <w:left w:val="nil"/>
          <w:bottom w:val="single" w:sz="18" w:space="0" w:color="AA0061"/>
          <w:right w:val="nil"/>
          <w:insideH w:val="nil"/>
          <w:insideV w:val="nil"/>
          <w:tl2br w:val="nil"/>
          <w:tr2bl w:val="nil"/>
        </w:tcBorders>
      </w:tcPr>
    </w:tblStylePr>
    <w:tblStylePr w:type="nwCell">
      <w:pPr>
        <w:keepNext/>
        <w:wordWrap/>
      </w:pPr>
    </w:tblStylePr>
  </w:style>
  <w:style w:type="table" w:customStyle="1" w:styleId="FluxysTable2">
    <w:name w:val="Fluxys Table 2"/>
    <w:basedOn w:val="TableNormal"/>
    <w:uiPriority w:val="99"/>
    <w:rsid w:val="001535FF"/>
    <w:pPr>
      <w:spacing w:before="0" w:line="240" w:lineRule="auto"/>
    </w:pPr>
    <w:tblPr>
      <w:tblBorders>
        <w:bottom w:val="single" w:sz="8" w:space="0" w:color="auto"/>
        <w:insideH w:val="single" w:sz="8" w:space="0" w:color="auto"/>
      </w:tblBorders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5234A"/>
        <w:vAlign w:val="center"/>
      </w:tcPr>
    </w:tblStylePr>
    <w:tblStylePr w:type="nwCell">
      <w:pPr>
        <w:keepNext/>
        <w:wordWrap/>
      </w:pPr>
    </w:tblStylePr>
  </w:style>
  <w:style w:type="paragraph" w:styleId="TOC7">
    <w:name w:val="toc 7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/>
    </w:rPr>
  </w:style>
  <w:style w:type="paragraph" w:styleId="TOC6">
    <w:name w:val="toc 6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styleId="TOC5">
    <w:name w:val="toc 5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/>
    </w:rPr>
  </w:style>
  <w:style w:type="paragraph" w:styleId="TOC4">
    <w:name w:val="toc 4"/>
    <w:basedOn w:val="Normal"/>
    <w:next w:val="Normal"/>
    <w:autoRedefine/>
    <w:uiPriority w:val="39"/>
    <w:semiHidden/>
    <w:rsid w:val="00230677"/>
    <w:pPr>
      <w:tabs>
        <w:tab w:val="right" w:leader="underscore" w:pos="9072"/>
      </w:tabs>
      <w:spacing w:after="100" w:line="240" w:lineRule="auto"/>
    </w:pPr>
    <w:rPr>
      <w:color w:val="15234A" w:themeColor="text2"/>
    </w:rPr>
  </w:style>
  <w:style w:type="paragraph" w:styleId="TOC3">
    <w:name w:val="toc 3"/>
    <w:basedOn w:val="Normal"/>
    <w:next w:val="Normal"/>
    <w:autoRedefine/>
    <w:uiPriority w:val="39"/>
    <w:semiHidden/>
    <w:rsid w:val="00711A2B"/>
    <w:pPr>
      <w:tabs>
        <w:tab w:val="right" w:leader="underscore" w:pos="9072"/>
      </w:tabs>
      <w:spacing w:after="100" w:line="240" w:lineRule="auto"/>
    </w:pPr>
    <w:rPr>
      <w:color w:val="000000"/>
    </w:rPr>
  </w:style>
  <w:style w:type="paragraph" w:styleId="TOC2">
    <w:name w:val="toc 2"/>
    <w:basedOn w:val="Normal"/>
    <w:next w:val="Normal"/>
    <w:autoRedefine/>
    <w:uiPriority w:val="39"/>
    <w:semiHidden/>
    <w:rsid w:val="00E778EB"/>
    <w:pPr>
      <w:tabs>
        <w:tab w:val="right" w:leader="underscore" w:pos="9072"/>
      </w:tabs>
      <w:spacing w:after="100"/>
    </w:pPr>
    <w:rPr>
      <w:b/>
      <w:color w:val="15234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106"/>
    <w:pPr>
      <w:spacing w:line="240" w:lineRule="auto"/>
    </w:pPr>
    <w:rPr>
      <w:rFonts w:asciiTheme="minorHAnsi" w:eastAsiaTheme="minorHAnsi" w:hAnsiTheme="minorHAnsi" w:cstheme="minorBidi"/>
      <w:b/>
      <w:bCs/>
      <w:sz w:val="20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106"/>
    <w:rPr>
      <w:rFonts w:ascii="Arial" w:eastAsia="Arial" w:hAnsi="Arial" w:cs="Arial"/>
      <w:b/>
      <w:bCs/>
      <w:sz w:val="20"/>
      <w:szCs w:val="20"/>
      <w:lang w:val="nl-BE" w:eastAsia="en-GB"/>
    </w:rPr>
  </w:style>
  <w:style w:type="paragraph" w:customStyle="1" w:styleId="Default">
    <w:name w:val="Default"/>
    <w:rsid w:val="00A52F85"/>
    <w:pPr>
      <w:autoSpaceDE w:val="0"/>
      <w:autoSpaceDN w:val="0"/>
      <w:adjustRightInd w:val="0"/>
      <w:spacing w:before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s-image">
    <w:name w:val="ts-image"/>
    <w:basedOn w:val="DefaultParagraphFont"/>
    <w:rsid w:val="00D24796"/>
  </w:style>
  <w:style w:type="character" w:styleId="Strong">
    <w:name w:val="Strong"/>
    <w:basedOn w:val="DefaultParagraphFont"/>
    <w:uiPriority w:val="22"/>
    <w:qFormat/>
    <w:rsid w:val="00E44D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entral.fluxys.int\dfs\SHA\010%20Templates\01%20-%20Fluxys\1_Fluxys_general_word_template.dotx" TargetMode="External"/></Relationships>
</file>

<file path=word/theme/theme1.xml><?xml version="1.0" encoding="utf-8"?>
<a:theme xmlns:a="http://schemas.openxmlformats.org/drawingml/2006/main" name="Fluxys">
  <a:themeElements>
    <a:clrScheme name="Fluxys">
      <a:dk1>
        <a:srgbClr val="000000"/>
      </a:dk1>
      <a:lt1>
        <a:sysClr val="window" lastClr="FFFFFF"/>
      </a:lt1>
      <a:dk2>
        <a:srgbClr val="15234A"/>
      </a:dk2>
      <a:lt2>
        <a:srgbClr val="C8C8C8"/>
      </a:lt2>
      <a:accent1>
        <a:srgbClr val="00C1D5"/>
      </a:accent1>
      <a:accent2>
        <a:srgbClr val="CC8A00"/>
      </a:accent2>
      <a:accent3>
        <a:srgbClr val="91D6AC"/>
      </a:accent3>
      <a:accent4>
        <a:srgbClr val="AA0061"/>
      </a:accent4>
      <a:accent5>
        <a:srgbClr val="0085CA"/>
      </a:accent5>
      <a:accent6>
        <a:srgbClr val="B5BD00"/>
      </a:accent6>
      <a:hlink>
        <a:srgbClr val="15234A"/>
      </a:hlink>
      <a:folHlink>
        <a:srgbClr val="91D6AC"/>
      </a:folHlink>
    </a:clrScheme>
    <a:fontScheme name="Century Gothic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uxys" id="{C72BAC4F-96AB-4933-A6A6-7480B22A4C8F}" vid="{E1B2E64B-522C-433B-8A80-09EDA77738A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38F874487F948831487E708FF9641" ma:contentTypeVersion="13" ma:contentTypeDescription="Create a new document." ma:contentTypeScope="" ma:versionID="a120c3a88293c6a51e5b2cdb1f45fc66">
  <xsd:schema xmlns:xsd="http://www.w3.org/2001/XMLSchema" xmlns:xs="http://www.w3.org/2001/XMLSchema" xmlns:p="http://schemas.microsoft.com/office/2006/metadata/properties" xmlns:ns3="68219cce-2df1-4ec2-8c7d-ffa83baf904f" xmlns:ns4="2cd93bb4-82f3-4080-9e28-92704364e5de" targetNamespace="http://schemas.microsoft.com/office/2006/metadata/properties" ma:root="true" ma:fieldsID="563fd9c99c0846665510a0273e2f629c" ns3:_="" ns4:_="">
    <xsd:import namespace="68219cce-2df1-4ec2-8c7d-ffa83baf904f"/>
    <xsd:import namespace="2cd93bb4-82f3-4080-9e28-92704364e5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9cce-2df1-4ec2-8c7d-ffa83baf90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93bb4-82f3-4080-9e28-92704364e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1678D-83B5-47D4-83BD-622346B79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9cce-2df1-4ec2-8c7d-ffa83baf904f"/>
    <ds:schemaRef ds:uri="2cd93bb4-82f3-4080-9e28-92704364e5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97C72-35D9-4A0B-8A2B-7E2AB23EBA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D03C6-ADC6-44C6-99E7-3274E16EBC6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cd93bb4-82f3-4080-9e28-92704364e5de"/>
    <ds:schemaRef ds:uri="http://schemas.microsoft.com/office/infopath/2007/PartnerControls"/>
    <ds:schemaRef ds:uri="68219cce-2df1-4ec2-8c7d-ffa83baf904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F956270-A916-4D9B-B735-D320A02B0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1_Fluxys_general_word_template</Template>
  <TotalTime>0</TotalTime>
  <Pages>5</Pages>
  <Words>663</Words>
  <Characters>3783</Characters>
  <Application>Microsoft Office Word</Application>
  <DocSecurity>4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Wouters Iris</dc:creator>
  <cp:keywords/>
  <dc:description/>
  <cp:lastModifiedBy>Vandegaer Evelyne</cp:lastModifiedBy>
  <cp:revision>2</cp:revision>
  <dcterms:created xsi:type="dcterms:W3CDTF">2022-02-11T10:05:00Z</dcterms:created>
  <dcterms:modified xsi:type="dcterms:W3CDTF">2022-02-11T10:05:00Z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0x010100AD538F874487F948831487E708FF9641</vt:lpwstr>
  </property>
</Properties>
</file>